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2AF" w:rsidRDefault="006F1044" w:rsidP="00B822AF">
      <w:pPr>
        <w:ind w:left="720" w:hanging="720"/>
        <w:jc w:val="center"/>
        <w:rPr>
          <w:b/>
        </w:rPr>
      </w:pPr>
      <w:bookmarkStart w:id="0" w:name="_GoBack"/>
      <w:bookmarkEnd w:id="0"/>
      <w:r>
        <w:rPr>
          <w:b/>
        </w:rPr>
        <w:t>ME382R</w:t>
      </w:r>
    </w:p>
    <w:p w:rsidR="006F1044" w:rsidRPr="00B822AF" w:rsidRDefault="00503EAB" w:rsidP="00B822AF">
      <w:pPr>
        <w:ind w:left="720" w:hanging="720"/>
        <w:jc w:val="center"/>
        <w:rPr>
          <w:b/>
        </w:rPr>
      </w:pPr>
      <w:r w:rsidRPr="00B822AF">
        <w:rPr>
          <w:b/>
        </w:rPr>
        <w:t xml:space="preserve">Fa </w:t>
      </w:r>
      <w:r w:rsidR="00B822AF" w:rsidRPr="00B822AF">
        <w:rPr>
          <w:b/>
        </w:rPr>
        <w:t>20</w:t>
      </w:r>
      <w:r w:rsidR="009D205D">
        <w:rPr>
          <w:b/>
        </w:rPr>
        <w:t>2</w:t>
      </w:r>
      <w:r w:rsidR="00D775B8">
        <w:rPr>
          <w:b/>
        </w:rPr>
        <w:t>3</w:t>
      </w:r>
    </w:p>
    <w:p w:rsidR="006F1044" w:rsidRDefault="006F1044" w:rsidP="00B822AF">
      <w:pPr>
        <w:jc w:val="center"/>
        <w:rPr>
          <w:b/>
        </w:rPr>
      </w:pPr>
      <w:r>
        <w:rPr>
          <w:b/>
        </w:rPr>
        <w:t>Homework #2:  Kinetics</w:t>
      </w:r>
    </w:p>
    <w:p w:rsidR="006F1044" w:rsidRDefault="006F1044">
      <w:pPr>
        <w:jc w:val="both"/>
        <w:rPr>
          <w:b/>
        </w:rPr>
      </w:pPr>
    </w:p>
    <w:p w:rsidR="006F1044" w:rsidRDefault="006F1044">
      <w:pPr>
        <w:jc w:val="both"/>
      </w:pPr>
      <w:r>
        <w:t>In the following problems, we will use various reaction mechanisms to study constant pressure adiabatic explosions.</w:t>
      </w:r>
    </w:p>
    <w:p w:rsidR="006F1044" w:rsidRDefault="006F1044">
      <w:pPr>
        <w:jc w:val="both"/>
      </w:pPr>
      <w:r>
        <w:t xml:space="preserve">Goal:  To learn how to use </w:t>
      </w:r>
      <w:r w:rsidR="00503EAB">
        <w:t xml:space="preserve">Cantera for constant pressure explosions </w:t>
      </w:r>
      <w:r>
        <w:t>and to observe the variation in species, particularly radical species, as the reaction proceeds to completion</w:t>
      </w:r>
      <w:r w:rsidR="00273B5C">
        <w:t>.</w:t>
      </w:r>
    </w:p>
    <w:p w:rsidR="00273B5C" w:rsidRDefault="00273B5C">
      <w:pPr>
        <w:jc w:val="both"/>
      </w:pPr>
    </w:p>
    <w:p w:rsidR="006F1044" w:rsidRDefault="006F1044">
      <w:pPr>
        <w:jc w:val="both"/>
      </w:pPr>
      <w:r>
        <w:t>As a part of your assignment, select one case</w:t>
      </w:r>
      <w:r w:rsidR="00C81271">
        <w:t>, focus on the reaction zone,</w:t>
      </w:r>
      <w:r>
        <w:t xml:space="preserve"> and examine the variation of species as the explosion takes place.  Identify when the initial breakdown of the fuel takes place, when the radical production peaks, and when the heat release peaks.</w:t>
      </w:r>
      <w:r w:rsidR="00C81271">
        <w:t xml:space="preserve">  Do CO and NO form on different time scales?</w:t>
      </w:r>
    </w:p>
    <w:p w:rsidR="006F1044" w:rsidRDefault="006F1044">
      <w:pPr>
        <w:jc w:val="both"/>
      </w:pPr>
    </w:p>
    <w:p w:rsidR="006F1044" w:rsidRDefault="006F1044">
      <w:pPr>
        <w:jc w:val="both"/>
      </w:pPr>
      <w:r>
        <w:t>H</w:t>
      </w:r>
      <w:r w:rsidRPr="00220B38">
        <w:rPr>
          <w:szCs w:val="24"/>
          <w:vertAlign w:val="subscript"/>
        </w:rPr>
        <w:t>2</w:t>
      </w:r>
      <w:r>
        <w:t>/air or H</w:t>
      </w:r>
      <w:r w:rsidR="00220B38" w:rsidRPr="00220B38">
        <w:rPr>
          <w:szCs w:val="24"/>
          <w:vertAlign w:val="subscript"/>
        </w:rPr>
        <w:t>2</w:t>
      </w:r>
      <w:r>
        <w:t>/O</w:t>
      </w:r>
      <w:r w:rsidR="00220B38" w:rsidRPr="00220B38">
        <w:rPr>
          <w:szCs w:val="24"/>
          <w:vertAlign w:val="subscript"/>
        </w:rPr>
        <w:t>2</w:t>
      </w:r>
    </w:p>
    <w:p w:rsidR="006F1044" w:rsidRDefault="006F1044">
      <w:pPr>
        <w:numPr>
          <w:ilvl w:val="0"/>
          <w:numId w:val="2"/>
        </w:numPr>
        <w:tabs>
          <w:tab w:val="clear" w:pos="720"/>
        </w:tabs>
        <w:ind w:left="540" w:hanging="540"/>
        <w:jc w:val="both"/>
      </w:pPr>
      <w:r>
        <w:t>Study the explosion characteristics of stoichiometric H</w:t>
      </w:r>
      <w:r w:rsidR="00220B38" w:rsidRPr="00220B38">
        <w:rPr>
          <w:szCs w:val="24"/>
          <w:vertAlign w:val="subscript"/>
        </w:rPr>
        <w:t>2</w:t>
      </w:r>
      <w:r>
        <w:t>/</w:t>
      </w:r>
      <w:r w:rsidR="00FC3E9B">
        <w:t>air</w:t>
      </w:r>
      <w:r>
        <w:t xml:space="preserve"> for various initial t</w:t>
      </w:r>
      <w:r w:rsidR="00FC3E9B">
        <w:t>emperatures from 1000 to 2000K and pressures between 0.1 and 100 atm.</w:t>
      </w:r>
      <w:r>
        <w:t xml:space="preserve"> Plot the temperature vs. time.  The time axis will need to be a log scale to cover the range of interest.  Determine the induction time. </w:t>
      </w:r>
      <w:r w:rsidR="00FE5081">
        <w:t>Identify the S-curve.</w:t>
      </w:r>
      <w:r>
        <w:t xml:space="preserve"> Compare to experimental values.</w:t>
      </w:r>
    </w:p>
    <w:p w:rsidR="006F1044" w:rsidRDefault="006F1044">
      <w:pPr>
        <w:ind w:left="540" w:hanging="540"/>
        <w:jc w:val="both"/>
      </w:pPr>
    </w:p>
    <w:p w:rsidR="006F1044" w:rsidRDefault="006F1044">
      <w:pPr>
        <w:ind w:left="540" w:hanging="540"/>
        <w:jc w:val="both"/>
      </w:pPr>
      <w:r>
        <w:t>CH</w:t>
      </w:r>
      <w:r w:rsidRPr="00503EAB">
        <w:rPr>
          <w:szCs w:val="24"/>
          <w:vertAlign w:val="subscript"/>
        </w:rPr>
        <w:t>4</w:t>
      </w:r>
      <w:r>
        <w:t>/air or CH</w:t>
      </w:r>
      <w:r w:rsidR="00503EAB" w:rsidRPr="00503EAB">
        <w:rPr>
          <w:szCs w:val="24"/>
          <w:vertAlign w:val="subscript"/>
        </w:rPr>
        <w:t>4</w:t>
      </w:r>
      <w:r>
        <w:t>/O</w:t>
      </w:r>
      <w:r w:rsidRPr="00503EAB">
        <w:rPr>
          <w:szCs w:val="24"/>
          <w:vertAlign w:val="subscript"/>
        </w:rPr>
        <w:t>2</w:t>
      </w:r>
    </w:p>
    <w:p w:rsidR="006F1044" w:rsidRDefault="00FC3E9B" w:rsidP="00EB6370">
      <w:pPr>
        <w:ind w:left="540" w:hanging="540"/>
        <w:jc w:val="both"/>
      </w:pPr>
      <w:r>
        <w:t>2</w:t>
      </w:r>
      <w:r w:rsidR="006F1044">
        <w:t>.</w:t>
      </w:r>
      <w:r w:rsidR="006F1044">
        <w:tab/>
        <w:t>Determine the explosion characteristics of a stoichiometric CH</w:t>
      </w:r>
      <w:r w:rsidR="00220B38" w:rsidRPr="00503EAB">
        <w:rPr>
          <w:szCs w:val="24"/>
          <w:vertAlign w:val="subscript"/>
        </w:rPr>
        <w:t>4</w:t>
      </w:r>
      <w:r w:rsidR="006F1044">
        <w:t xml:space="preserve">/air mixture </w:t>
      </w:r>
      <w:r w:rsidR="002A639A">
        <w:t>for various initial temperatures from 1000 to 2000K and pressures between 0.1 and 100 atm. Plot the temperature vs. time.  The time axis will need to be a log scale to cover the range of interest.  Determine the induction time.  Compare to experimental values.</w:t>
      </w:r>
      <w:r w:rsidR="006F1044">
        <w:tab/>
      </w:r>
    </w:p>
    <w:p w:rsidR="006F1044" w:rsidRDefault="006F1044">
      <w:pPr>
        <w:ind w:left="540" w:hanging="540"/>
        <w:jc w:val="both"/>
      </w:pPr>
      <w:r>
        <w:t>C</w:t>
      </w:r>
      <w:r w:rsidRPr="00503EAB">
        <w:rPr>
          <w:szCs w:val="24"/>
          <w:vertAlign w:val="subscript"/>
        </w:rPr>
        <w:t>3</w:t>
      </w:r>
      <w:r>
        <w:t>H</w:t>
      </w:r>
      <w:r w:rsidRPr="00503EAB">
        <w:rPr>
          <w:szCs w:val="24"/>
          <w:vertAlign w:val="subscript"/>
        </w:rPr>
        <w:t>8</w:t>
      </w:r>
      <w:r>
        <w:t>/air or C</w:t>
      </w:r>
      <w:r w:rsidR="00503EAB" w:rsidRPr="00503EAB">
        <w:rPr>
          <w:szCs w:val="24"/>
          <w:vertAlign w:val="subscript"/>
        </w:rPr>
        <w:t>3</w:t>
      </w:r>
      <w:r>
        <w:t>H</w:t>
      </w:r>
      <w:r w:rsidR="00503EAB" w:rsidRPr="00503EAB">
        <w:rPr>
          <w:szCs w:val="24"/>
          <w:vertAlign w:val="subscript"/>
        </w:rPr>
        <w:t>8</w:t>
      </w:r>
      <w:r>
        <w:t>/O</w:t>
      </w:r>
      <w:r w:rsidRPr="00503EAB">
        <w:rPr>
          <w:szCs w:val="24"/>
          <w:vertAlign w:val="subscript"/>
        </w:rPr>
        <w:t>2</w:t>
      </w:r>
    </w:p>
    <w:p w:rsidR="00FC3E9B" w:rsidRDefault="006F1044" w:rsidP="002A639A">
      <w:pPr>
        <w:pStyle w:val="ListParagraph"/>
        <w:numPr>
          <w:ilvl w:val="0"/>
          <w:numId w:val="5"/>
        </w:numPr>
        <w:ind w:left="540" w:hanging="540"/>
        <w:jc w:val="both"/>
      </w:pPr>
      <w:r>
        <w:t xml:space="preserve">Determine the explosion characteristics of a stoichiometric </w:t>
      </w:r>
      <w:r w:rsidR="00220B38">
        <w:t>C</w:t>
      </w:r>
      <w:r w:rsidR="00220B38" w:rsidRPr="002A639A">
        <w:rPr>
          <w:szCs w:val="24"/>
          <w:vertAlign w:val="subscript"/>
        </w:rPr>
        <w:t>3</w:t>
      </w:r>
      <w:r w:rsidR="00220B38">
        <w:t>H</w:t>
      </w:r>
      <w:r w:rsidR="00220B38" w:rsidRPr="002A639A">
        <w:rPr>
          <w:szCs w:val="24"/>
          <w:vertAlign w:val="subscript"/>
        </w:rPr>
        <w:t>8</w:t>
      </w:r>
      <w:r>
        <w:t xml:space="preserve">/air mixture </w:t>
      </w:r>
      <w:r w:rsidR="002A639A">
        <w:t xml:space="preserve">for various initial temperatures from 1000 to 2000K and pressures between 0.1 and 100 atm. Plot the temperature vs. time.  The time axis will need to be a log scale to cover the range of interest.  Determine the induction time.  </w:t>
      </w:r>
      <w:r w:rsidR="00FE5081">
        <w:t xml:space="preserve">Identify the cool flame region. </w:t>
      </w:r>
      <w:r w:rsidR="002A639A">
        <w:t>Compare to experimental values.</w:t>
      </w:r>
    </w:p>
    <w:p w:rsidR="002A639A" w:rsidRDefault="002A639A" w:rsidP="002A639A">
      <w:pPr>
        <w:pStyle w:val="ListParagraph"/>
        <w:jc w:val="both"/>
      </w:pPr>
    </w:p>
    <w:p w:rsidR="00A549D7" w:rsidRDefault="00A549D7" w:rsidP="00FC3E9B">
      <w:pPr>
        <w:ind w:left="540" w:hanging="540"/>
        <w:jc w:val="both"/>
      </w:pPr>
      <w:r>
        <w:t>Any fuel/ox</w:t>
      </w:r>
    </w:p>
    <w:p w:rsidR="00FC3E9B" w:rsidRDefault="00C81271" w:rsidP="00FC3E9B">
      <w:pPr>
        <w:ind w:left="540" w:hanging="540"/>
        <w:jc w:val="both"/>
      </w:pPr>
      <w:r>
        <w:t>4</w:t>
      </w:r>
      <w:r w:rsidR="00FC3E9B">
        <w:t>.</w:t>
      </w:r>
      <w:r w:rsidR="00FC3E9B">
        <w:tab/>
        <w:t xml:space="preserve">Determine the effect of radicals to initiate </w:t>
      </w:r>
      <w:r w:rsidR="00FE5081">
        <w:t xml:space="preserve">a reaction </w:t>
      </w:r>
      <w:r w:rsidR="00FC3E9B">
        <w:t>and compare to different temperatures.</w:t>
      </w:r>
      <w:r w:rsidR="00C97BF9">
        <w:t xml:space="preserve"> How efficient are radicals vs. increased temperature in promoting reaction?  Find relevant technologies that use one or both of these methods and discuss.</w:t>
      </w:r>
    </w:p>
    <w:p w:rsidR="00FC3E9B" w:rsidRDefault="00FC3E9B" w:rsidP="00FC3E9B">
      <w:pPr>
        <w:pStyle w:val="BodyTextIndent"/>
        <w:ind w:left="0" w:firstLine="0"/>
      </w:pPr>
      <w:r>
        <w:tab/>
      </w:r>
    </w:p>
    <w:p w:rsidR="00022F6C" w:rsidRDefault="00022F6C" w:rsidP="00232406">
      <w:pPr>
        <w:jc w:val="both"/>
      </w:pPr>
      <w:r>
        <w:t>Grade:</w:t>
      </w:r>
      <w:r>
        <w:tab/>
      </w:r>
      <w:r>
        <w:tab/>
        <w:t>Powerpoint presentation to class (50% calculations, 50% presentation)</w:t>
      </w:r>
    </w:p>
    <w:p w:rsidR="00022F6C" w:rsidRPr="00D45F57" w:rsidRDefault="00022F6C" w:rsidP="00022F6C">
      <w:pPr>
        <w:jc w:val="both"/>
      </w:pPr>
      <w:r>
        <w:t xml:space="preserve">  </w:t>
      </w:r>
      <w:r>
        <w:tab/>
      </w:r>
      <w:r>
        <w:tab/>
      </w:r>
    </w:p>
    <w:tbl>
      <w:tblPr>
        <w:tblW w:w="6668" w:type="dxa"/>
        <w:tblCellMar>
          <w:left w:w="0" w:type="dxa"/>
          <w:right w:w="0" w:type="dxa"/>
        </w:tblCellMar>
        <w:tblLook w:val="0000" w:firstRow="0" w:lastRow="0" w:firstColumn="0" w:lastColumn="0" w:noHBand="0" w:noVBand="0"/>
      </w:tblPr>
      <w:tblGrid>
        <w:gridCol w:w="5531"/>
        <w:gridCol w:w="1137"/>
      </w:tblGrid>
      <w:tr w:rsidR="002D71F7" w:rsidTr="002D71F7">
        <w:trPr>
          <w:trHeight w:val="322"/>
        </w:trPr>
        <w:tc>
          <w:tcPr>
            <w:tcW w:w="0" w:type="auto"/>
            <w:tcBorders>
              <w:top w:val="nil"/>
              <w:left w:val="nil"/>
              <w:bottom w:val="nil"/>
              <w:right w:val="nil"/>
            </w:tcBorders>
            <w:noWrap/>
            <w:tcMar>
              <w:top w:w="15" w:type="dxa"/>
              <w:left w:w="15" w:type="dxa"/>
              <w:bottom w:w="0" w:type="dxa"/>
              <w:right w:w="15" w:type="dxa"/>
            </w:tcMar>
            <w:vAlign w:val="bottom"/>
          </w:tcPr>
          <w:p w:rsidR="002D71F7" w:rsidRDefault="002D71F7" w:rsidP="00FD012B">
            <w:pPr>
              <w:rPr>
                <w:szCs w:val="24"/>
              </w:rPr>
            </w:pPr>
            <w:r>
              <w:rPr>
                <w:szCs w:val="24"/>
              </w:rPr>
              <w:t>Quinten, Joshua, Robert</w:t>
            </w:r>
          </w:p>
        </w:tc>
        <w:tc>
          <w:tcPr>
            <w:tcW w:w="1137" w:type="dxa"/>
            <w:tcBorders>
              <w:top w:val="nil"/>
              <w:left w:val="nil"/>
              <w:bottom w:val="nil"/>
              <w:right w:val="nil"/>
            </w:tcBorders>
          </w:tcPr>
          <w:p w:rsidR="002D71F7" w:rsidRDefault="002D71F7" w:rsidP="00022F6C">
            <w:pPr>
              <w:jc w:val="right"/>
            </w:pPr>
            <w:r>
              <w:t>1</w:t>
            </w:r>
          </w:p>
        </w:tc>
      </w:tr>
      <w:tr w:rsidR="002D71F7" w:rsidTr="002D71F7">
        <w:trPr>
          <w:trHeight w:val="322"/>
        </w:trPr>
        <w:tc>
          <w:tcPr>
            <w:tcW w:w="0" w:type="auto"/>
            <w:tcBorders>
              <w:top w:val="nil"/>
              <w:left w:val="nil"/>
              <w:bottom w:val="nil"/>
              <w:right w:val="nil"/>
            </w:tcBorders>
            <w:noWrap/>
            <w:tcMar>
              <w:top w:w="15" w:type="dxa"/>
              <w:left w:w="15" w:type="dxa"/>
              <w:bottom w:w="0" w:type="dxa"/>
              <w:right w:w="15" w:type="dxa"/>
            </w:tcMar>
            <w:vAlign w:val="bottom"/>
          </w:tcPr>
          <w:p w:rsidR="002D71F7" w:rsidRDefault="002D71F7" w:rsidP="00022F6C">
            <w:pPr>
              <w:rPr>
                <w:szCs w:val="24"/>
              </w:rPr>
            </w:pPr>
            <w:r>
              <w:rPr>
                <w:szCs w:val="24"/>
              </w:rPr>
              <w:t>Tullie, Ameya, Gabriel</w:t>
            </w:r>
          </w:p>
        </w:tc>
        <w:tc>
          <w:tcPr>
            <w:tcW w:w="1137" w:type="dxa"/>
            <w:tcBorders>
              <w:top w:val="nil"/>
              <w:left w:val="nil"/>
              <w:bottom w:val="nil"/>
              <w:right w:val="nil"/>
            </w:tcBorders>
          </w:tcPr>
          <w:p w:rsidR="002D71F7" w:rsidRDefault="002D71F7" w:rsidP="00022F6C">
            <w:pPr>
              <w:jc w:val="right"/>
            </w:pPr>
            <w:r>
              <w:t>2</w:t>
            </w:r>
          </w:p>
        </w:tc>
      </w:tr>
      <w:tr w:rsidR="002D71F7" w:rsidTr="002D71F7">
        <w:trPr>
          <w:trHeight w:val="322"/>
        </w:trPr>
        <w:tc>
          <w:tcPr>
            <w:tcW w:w="0" w:type="auto"/>
            <w:tcBorders>
              <w:top w:val="nil"/>
              <w:left w:val="nil"/>
              <w:bottom w:val="nil"/>
              <w:right w:val="nil"/>
            </w:tcBorders>
            <w:noWrap/>
            <w:tcMar>
              <w:top w:w="15" w:type="dxa"/>
              <w:left w:w="15" w:type="dxa"/>
              <w:bottom w:w="0" w:type="dxa"/>
              <w:right w:w="15" w:type="dxa"/>
            </w:tcMar>
            <w:vAlign w:val="bottom"/>
          </w:tcPr>
          <w:p w:rsidR="002D71F7" w:rsidRDefault="002D71F7" w:rsidP="00022F6C">
            <w:pPr>
              <w:jc w:val="both"/>
              <w:rPr>
                <w:szCs w:val="24"/>
              </w:rPr>
            </w:pPr>
            <w:r>
              <w:rPr>
                <w:szCs w:val="24"/>
              </w:rPr>
              <w:t xml:space="preserve">Isha, </w:t>
            </w:r>
            <w:proofErr w:type="spellStart"/>
            <w:r>
              <w:rPr>
                <w:szCs w:val="24"/>
              </w:rPr>
              <w:t>Caelix</w:t>
            </w:r>
            <w:proofErr w:type="spellEnd"/>
            <w:r>
              <w:rPr>
                <w:szCs w:val="24"/>
              </w:rPr>
              <w:t>, Ganesh</w:t>
            </w:r>
          </w:p>
        </w:tc>
        <w:tc>
          <w:tcPr>
            <w:tcW w:w="1137" w:type="dxa"/>
            <w:tcBorders>
              <w:top w:val="nil"/>
              <w:left w:val="nil"/>
              <w:bottom w:val="nil"/>
              <w:right w:val="nil"/>
            </w:tcBorders>
          </w:tcPr>
          <w:p w:rsidR="002D71F7" w:rsidRDefault="002D71F7" w:rsidP="00022F6C">
            <w:pPr>
              <w:jc w:val="right"/>
            </w:pPr>
            <w:r>
              <w:t xml:space="preserve">3 </w:t>
            </w:r>
          </w:p>
        </w:tc>
      </w:tr>
      <w:tr w:rsidR="002D71F7" w:rsidTr="002D71F7">
        <w:trPr>
          <w:trHeight w:val="322"/>
        </w:trPr>
        <w:tc>
          <w:tcPr>
            <w:tcW w:w="0" w:type="auto"/>
            <w:tcBorders>
              <w:top w:val="nil"/>
              <w:left w:val="nil"/>
              <w:bottom w:val="nil"/>
              <w:right w:val="nil"/>
            </w:tcBorders>
            <w:noWrap/>
            <w:tcMar>
              <w:top w:w="15" w:type="dxa"/>
              <w:left w:w="15" w:type="dxa"/>
              <w:bottom w:w="0" w:type="dxa"/>
              <w:right w:w="15" w:type="dxa"/>
            </w:tcMar>
            <w:vAlign w:val="bottom"/>
          </w:tcPr>
          <w:p w:rsidR="002D71F7" w:rsidRDefault="002D71F7" w:rsidP="003E460E">
            <w:pPr>
              <w:rPr>
                <w:szCs w:val="24"/>
              </w:rPr>
            </w:pPr>
            <w:r>
              <w:rPr>
                <w:szCs w:val="24"/>
              </w:rPr>
              <w:t>Ty, Ethan</w:t>
            </w:r>
          </w:p>
        </w:tc>
        <w:tc>
          <w:tcPr>
            <w:tcW w:w="1137" w:type="dxa"/>
            <w:tcBorders>
              <w:top w:val="nil"/>
              <w:left w:val="nil"/>
              <w:bottom w:val="nil"/>
              <w:right w:val="nil"/>
            </w:tcBorders>
          </w:tcPr>
          <w:p w:rsidR="002D71F7" w:rsidRDefault="002D71F7" w:rsidP="00022F6C">
            <w:pPr>
              <w:jc w:val="right"/>
            </w:pPr>
            <w:r>
              <w:t>4</w:t>
            </w:r>
          </w:p>
        </w:tc>
      </w:tr>
    </w:tbl>
    <w:p w:rsidR="006F1044" w:rsidRDefault="006F1044" w:rsidP="004B06BB">
      <w:pPr>
        <w:jc w:val="both"/>
      </w:pPr>
    </w:p>
    <w:sectPr w:rsidR="006F1044" w:rsidSect="004B06BB">
      <w:pgSz w:w="12240" w:h="15840"/>
      <w:pgMar w:top="126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CC8"/>
    <w:multiLevelType w:val="hybridMultilevel"/>
    <w:tmpl w:val="37C053A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8237E5"/>
    <w:multiLevelType w:val="hybridMultilevel"/>
    <w:tmpl w:val="D3666C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835ED5"/>
    <w:multiLevelType w:val="hybridMultilevel"/>
    <w:tmpl w:val="F7A07DDE"/>
    <w:lvl w:ilvl="0" w:tplc="73A26D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EE6AD6"/>
    <w:multiLevelType w:val="hybridMultilevel"/>
    <w:tmpl w:val="3CBA34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73250"/>
    <w:multiLevelType w:val="hybridMultilevel"/>
    <w:tmpl w:val="E258F8D6"/>
    <w:lvl w:ilvl="0" w:tplc="EC44A0EA">
      <w:start w:val="1"/>
      <w:numFmt w:val="bullet"/>
      <w:lvlText w:val=""/>
      <w:lvlJc w:val="left"/>
      <w:pPr>
        <w:tabs>
          <w:tab w:val="num" w:pos="720"/>
        </w:tabs>
        <w:ind w:left="720" w:hanging="360"/>
      </w:pPr>
      <w:rPr>
        <w:rFonts w:ascii="Wingdings 3" w:hAnsi="Wingdings 3" w:hint="default"/>
      </w:rPr>
    </w:lvl>
    <w:lvl w:ilvl="1" w:tplc="C5F4C7FC" w:tentative="1">
      <w:start w:val="1"/>
      <w:numFmt w:val="bullet"/>
      <w:lvlText w:val=""/>
      <w:lvlJc w:val="left"/>
      <w:pPr>
        <w:tabs>
          <w:tab w:val="num" w:pos="1440"/>
        </w:tabs>
        <w:ind w:left="1440" w:hanging="360"/>
      </w:pPr>
      <w:rPr>
        <w:rFonts w:ascii="Wingdings 3" w:hAnsi="Wingdings 3" w:hint="default"/>
      </w:rPr>
    </w:lvl>
    <w:lvl w:ilvl="2" w:tplc="91BAF2F0" w:tentative="1">
      <w:start w:val="1"/>
      <w:numFmt w:val="bullet"/>
      <w:lvlText w:val=""/>
      <w:lvlJc w:val="left"/>
      <w:pPr>
        <w:tabs>
          <w:tab w:val="num" w:pos="2160"/>
        </w:tabs>
        <w:ind w:left="2160" w:hanging="360"/>
      </w:pPr>
      <w:rPr>
        <w:rFonts w:ascii="Wingdings 3" w:hAnsi="Wingdings 3" w:hint="default"/>
      </w:rPr>
    </w:lvl>
    <w:lvl w:ilvl="3" w:tplc="6C3A8CE2" w:tentative="1">
      <w:start w:val="1"/>
      <w:numFmt w:val="bullet"/>
      <w:lvlText w:val=""/>
      <w:lvlJc w:val="left"/>
      <w:pPr>
        <w:tabs>
          <w:tab w:val="num" w:pos="2880"/>
        </w:tabs>
        <w:ind w:left="2880" w:hanging="360"/>
      </w:pPr>
      <w:rPr>
        <w:rFonts w:ascii="Wingdings 3" w:hAnsi="Wingdings 3" w:hint="default"/>
      </w:rPr>
    </w:lvl>
    <w:lvl w:ilvl="4" w:tplc="4D563E76" w:tentative="1">
      <w:start w:val="1"/>
      <w:numFmt w:val="bullet"/>
      <w:lvlText w:val=""/>
      <w:lvlJc w:val="left"/>
      <w:pPr>
        <w:tabs>
          <w:tab w:val="num" w:pos="3600"/>
        </w:tabs>
        <w:ind w:left="3600" w:hanging="360"/>
      </w:pPr>
      <w:rPr>
        <w:rFonts w:ascii="Wingdings 3" w:hAnsi="Wingdings 3" w:hint="default"/>
      </w:rPr>
    </w:lvl>
    <w:lvl w:ilvl="5" w:tplc="C396E1A2" w:tentative="1">
      <w:start w:val="1"/>
      <w:numFmt w:val="bullet"/>
      <w:lvlText w:val=""/>
      <w:lvlJc w:val="left"/>
      <w:pPr>
        <w:tabs>
          <w:tab w:val="num" w:pos="4320"/>
        </w:tabs>
        <w:ind w:left="4320" w:hanging="360"/>
      </w:pPr>
      <w:rPr>
        <w:rFonts w:ascii="Wingdings 3" w:hAnsi="Wingdings 3" w:hint="default"/>
      </w:rPr>
    </w:lvl>
    <w:lvl w:ilvl="6" w:tplc="ACD4BEA8" w:tentative="1">
      <w:start w:val="1"/>
      <w:numFmt w:val="bullet"/>
      <w:lvlText w:val=""/>
      <w:lvlJc w:val="left"/>
      <w:pPr>
        <w:tabs>
          <w:tab w:val="num" w:pos="5040"/>
        </w:tabs>
        <w:ind w:left="5040" w:hanging="360"/>
      </w:pPr>
      <w:rPr>
        <w:rFonts w:ascii="Wingdings 3" w:hAnsi="Wingdings 3" w:hint="default"/>
      </w:rPr>
    </w:lvl>
    <w:lvl w:ilvl="7" w:tplc="E368B00E" w:tentative="1">
      <w:start w:val="1"/>
      <w:numFmt w:val="bullet"/>
      <w:lvlText w:val=""/>
      <w:lvlJc w:val="left"/>
      <w:pPr>
        <w:tabs>
          <w:tab w:val="num" w:pos="5760"/>
        </w:tabs>
        <w:ind w:left="5760" w:hanging="360"/>
      </w:pPr>
      <w:rPr>
        <w:rFonts w:ascii="Wingdings 3" w:hAnsi="Wingdings 3" w:hint="default"/>
      </w:rPr>
    </w:lvl>
    <w:lvl w:ilvl="8" w:tplc="7722B35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4D"/>
    <w:rsid w:val="00022F6C"/>
    <w:rsid w:val="0003619E"/>
    <w:rsid w:val="00076C41"/>
    <w:rsid w:val="000813B1"/>
    <w:rsid w:val="00166C4D"/>
    <w:rsid w:val="00197E57"/>
    <w:rsid w:val="00204F97"/>
    <w:rsid w:val="00220B38"/>
    <w:rsid w:val="00236EEF"/>
    <w:rsid w:val="00273B5C"/>
    <w:rsid w:val="002A639A"/>
    <w:rsid w:val="002B006D"/>
    <w:rsid w:val="002D71F7"/>
    <w:rsid w:val="0031465A"/>
    <w:rsid w:val="00333DF5"/>
    <w:rsid w:val="003656D9"/>
    <w:rsid w:val="00380C19"/>
    <w:rsid w:val="003E14C1"/>
    <w:rsid w:val="003E460E"/>
    <w:rsid w:val="00452887"/>
    <w:rsid w:val="004B06BB"/>
    <w:rsid w:val="00503EAB"/>
    <w:rsid w:val="005877FB"/>
    <w:rsid w:val="00607939"/>
    <w:rsid w:val="0069137A"/>
    <w:rsid w:val="006E4563"/>
    <w:rsid w:val="006F1044"/>
    <w:rsid w:val="00721619"/>
    <w:rsid w:val="009D205D"/>
    <w:rsid w:val="009E5809"/>
    <w:rsid w:val="00A549D7"/>
    <w:rsid w:val="00AC1439"/>
    <w:rsid w:val="00B822AF"/>
    <w:rsid w:val="00C76AC1"/>
    <w:rsid w:val="00C81271"/>
    <w:rsid w:val="00C97BF9"/>
    <w:rsid w:val="00D71CD2"/>
    <w:rsid w:val="00D775B8"/>
    <w:rsid w:val="00D944B9"/>
    <w:rsid w:val="00E35F1F"/>
    <w:rsid w:val="00EB6370"/>
    <w:rsid w:val="00FC3E9B"/>
    <w:rsid w:val="00FD012B"/>
    <w:rsid w:val="00FE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8BAE0"/>
  <w15:docId w15:val="{90945D3E-CF97-4B06-BF54-F7E59AA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6AC1"/>
    <w:rPr>
      <w:sz w:val="24"/>
    </w:rPr>
  </w:style>
  <w:style w:type="paragraph" w:styleId="Heading1">
    <w:name w:val="heading 1"/>
    <w:basedOn w:val="Normal"/>
    <w:next w:val="Normal"/>
    <w:qFormat/>
    <w:rsid w:val="00C76AC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76AC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76AC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76AC1"/>
    <w:pPr>
      <w:ind w:left="540" w:hanging="540"/>
      <w:jc w:val="both"/>
    </w:pPr>
  </w:style>
  <w:style w:type="paragraph" w:styleId="List">
    <w:name w:val="List"/>
    <w:basedOn w:val="Normal"/>
    <w:rsid w:val="00C76AC1"/>
    <w:pPr>
      <w:ind w:left="360" w:hanging="360"/>
    </w:pPr>
  </w:style>
  <w:style w:type="paragraph" w:styleId="List2">
    <w:name w:val="List 2"/>
    <w:basedOn w:val="Normal"/>
    <w:rsid w:val="00C76AC1"/>
    <w:pPr>
      <w:ind w:left="720" w:hanging="360"/>
    </w:pPr>
  </w:style>
  <w:style w:type="paragraph" w:styleId="Title">
    <w:name w:val="Title"/>
    <w:basedOn w:val="Normal"/>
    <w:qFormat/>
    <w:rsid w:val="00C76AC1"/>
    <w:pPr>
      <w:spacing w:before="240" w:after="60"/>
      <w:jc w:val="center"/>
      <w:outlineLvl w:val="0"/>
    </w:pPr>
    <w:rPr>
      <w:rFonts w:ascii="Arial" w:hAnsi="Arial" w:cs="Arial"/>
      <w:b/>
      <w:bCs/>
      <w:kern w:val="28"/>
      <w:sz w:val="32"/>
      <w:szCs w:val="32"/>
    </w:rPr>
  </w:style>
  <w:style w:type="paragraph" w:styleId="BodyText">
    <w:name w:val="Body Text"/>
    <w:basedOn w:val="Normal"/>
    <w:rsid w:val="00C76AC1"/>
    <w:pPr>
      <w:spacing w:after="120"/>
    </w:pPr>
  </w:style>
  <w:style w:type="paragraph" w:styleId="Subtitle">
    <w:name w:val="Subtitle"/>
    <w:basedOn w:val="Normal"/>
    <w:qFormat/>
    <w:rsid w:val="00C76AC1"/>
    <w:pPr>
      <w:spacing w:after="60"/>
      <w:jc w:val="center"/>
      <w:outlineLvl w:val="1"/>
    </w:pPr>
    <w:rPr>
      <w:rFonts w:ascii="Arial" w:hAnsi="Arial" w:cs="Arial"/>
      <w:szCs w:val="24"/>
    </w:rPr>
  </w:style>
  <w:style w:type="paragraph" w:styleId="ListParagraph">
    <w:name w:val="List Paragraph"/>
    <w:basedOn w:val="Normal"/>
    <w:uiPriority w:val="34"/>
    <w:qFormat/>
    <w:rsid w:val="002A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684469">
      <w:bodyDiv w:val="1"/>
      <w:marLeft w:val="0"/>
      <w:marRight w:val="0"/>
      <w:marTop w:val="0"/>
      <w:marBottom w:val="0"/>
      <w:divBdr>
        <w:top w:val="none" w:sz="0" w:space="0" w:color="auto"/>
        <w:left w:val="none" w:sz="0" w:space="0" w:color="auto"/>
        <w:bottom w:val="none" w:sz="0" w:space="0" w:color="auto"/>
        <w:right w:val="none" w:sz="0" w:space="0" w:color="auto"/>
      </w:divBdr>
      <w:divsChild>
        <w:div w:id="40437703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345</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	Computer codes which perform equilibrium calculations are very easy to use and are quite reliable.  In this assignment, we will learn to use the NASA Equilibrium Code, CET89.</vt:lpstr>
    </vt:vector>
  </TitlesOfParts>
  <Company>university of Texas</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Computer codes which perform equilibrium calculations are very easy to use and are quite reliable.  In this assignment, we will learn to use the NASA Equilibrium Code, CET89.</dc:title>
  <dc:creator>University of Texas</dc:creator>
  <cp:lastModifiedBy>Ellzey, Janet L</cp:lastModifiedBy>
  <cp:revision>3</cp:revision>
  <cp:lastPrinted>2005-10-04T13:46:00Z</cp:lastPrinted>
  <dcterms:created xsi:type="dcterms:W3CDTF">2024-09-13T14:13:00Z</dcterms:created>
  <dcterms:modified xsi:type="dcterms:W3CDTF">2024-09-13T14:21:00Z</dcterms:modified>
</cp:coreProperties>
</file>