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eastAsia="Calibri"/>
          <w:b/>
          <w:i w:val="0"/>
          <w:color w:val="1F4E79"/>
          <w:sz w:val="52"/>
        </w:rPr>
        <w:t>Unsupervised Learning &amp; Model Evaluation</w:t>
      </w:r>
    </w:p>
    <w:p>
      <w:pPr>
        <w:pBdr>
          <w:bottom w:val="single" w:sz="12" w:space="1" w:color="1F4E79"/>
        </w:pBdr>
        <w:spacing w:before="0" w:after="320" w:line="276" w:lineRule="auto"/>
      </w:pPr>
      <w:r>
        <w:rPr>
          <w:rFonts w:ascii="Calibri" w:hAnsi="Calibri" w:eastAsia="Calibri"/>
          <w:b w:val="0"/>
          <w:i/>
          <w:color w:val="2E75B6"/>
          <w:sz w:val="28"/>
        </w:rPr>
        <w:t>Week 3 Task Report</w:t>
      </w:r>
    </w:p>
    <w:tbl>
      <w:tblPr>
        <w:tblW w:type="auto" w:w="0"/>
        <w:tblLayout w:type="autofit"/>
        <w:tblLook w:firstColumn="1" w:firstRow="1" w:lastColumn="0" w:lastRow="0" w:noHBand="0" w:noVBand="1" w:val="04A0"/>
      </w:tblPr>
      <w:tblGrid>
        <w:gridCol w:w="4706"/>
        <w:gridCol w:w="4706"/>
      </w:tblGrid>
      <w:tr>
        <w:tc>
          <w:tcPr>
            <w:tcW w:type="dxa" w:w="4706"/>
            <w:shd w:fill="EAF1F8" w:val="clear"/>
            <w:tcBorders>
              <w:top w:val="single" w:sz="4" w:space="0" w:color="D0D7DE"/>
              <w:left w:val="single" w:sz="4" w:space="0" w:color="D0D7DE"/>
              <w:bottom w:val="single" w:sz="4" w:space="0" w:color="D0D7DE"/>
              <w:right w:val="single" w:sz="4" w:space="0" w:color="D0D7DE"/>
            </w:tcBorders>
          </w:tcPr>
          <w:p>
            <w:r/>
            <w:r>
              <w:rPr>
                <w:rFonts w:ascii="Calibri" w:hAnsi="Calibri" w:eastAsia="Calibri"/>
                <w:b/>
                <w:i w:val="0"/>
                <w:color w:val="1F4E79"/>
                <w:sz w:val="22"/>
              </w:rPr>
              <w:t>Submitted by</w:t>
            </w:r>
          </w:p>
        </w:tc>
        <w:tc>
          <w:tcPr>
            <w:tcW w:type="dxa" w:w="470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i w:val="0"/>
                <w:color w:val="2D2D2D"/>
                <w:sz w:val="22"/>
              </w:rPr>
              <w:t>Vutukuri Yaswanth Ganesh Kumar</w:t>
            </w:r>
          </w:p>
        </w:tc>
      </w:tr>
      <w:tr>
        <w:tc>
          <w:tcPr>
            <w:tcW w:type="dxa" w:w="4706"/>
            <w:shd w:fill="EAF1F8" w:val="clear"/>
            <w:tcBorders>
              <w:top w:val="single" w:sz="4" w:space="0" w:color="D0D7DE"/>
              <w:left w:val="single" w:sz="4" w:space="0" w:color="D0D7DE"/>
              <w:bottom w:val="single" w:sz="4" w:space="0" w:color="D0D7DE"/>
              <w:right w:val="single" w:sz="4" w:space="0" w:color="D0D7DE"/>
            </w:tcBorders>
          </w:tcPr>
          <w:p>
            <w:r/>
            <w:r>
              <w:rPr>
                <w:rFonts w:ascii="Calibri" w:hAnsi="Calibri" w:eastAsia="Calibri"/>
                <w:b/>
                <w:i w:val="0"/>
                <w:color w:val="1F4E79"/>
                <w:sz w:val="22"/>
              </w:rPr>
              <w:t>Date</w:t>
            </w:r>
          </w:p>
        </w:tc>
        <w:tc>
          <w:tcPr>
            <w:tcW w:type="dxa" w:w="470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i w:val="0"/>
                <w:color w:val="2D2D2D"/>
                <w:sz w:val="22"/>
              </w:rPr>
              <w:t>4 September 2026</w:t>
            </w:r>
          </w:p>
        </w:tc>
      </w:tr>
      <w:tr>
        <w:tc>
          <w:tcPr>
            <w:tcW w:type="dxa" w:w="4706"/>
            <w:shd w:fill="EAF1F8" w:val="clear"/>
            <w:tcBorders>
              <w:top w:val="single" w:sz="4" w:space="0" w:color="D0D7DE"/>
              <w:left w:val="single" w:sz="4" w:space="0" w:color="D0D7DE"/>
              <w:bottom w:val="single" w:sz="4" w:space="0" w:color="D0D7DE"/>
              <w:right w:val="single" w:sz="4" w:space="0" w:color="D0D7DE"/>
            </w:tcBorders>
          </w:tcPr>
          <w:p>
            <w:r/>
            <w:r>
              <w:rPr>
                <w:rFonts w:ascii="Calibri" w:hAnsi="Calibri" w:eastAsia="Calibri"/>
                <w:b/>
                <w:i w:val="0"/>
                <w:color w:val="1F4E79"/>
                <w:sz w:val="22"/>
              </w:rPr>
              <w:t>Task</w:t>
            </w:r>
          </w:p>
        </w:tc>
        <w:tc>
          <w:tcPr>
            <w:tcW w:type="dxa" w:w="470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i w:val="0"/>
                <w:color w:val="2D2D2D"/>
                <w:sz w:val="22"/>
              </w:rPr>
              <w:t>Week 3 — Unsupervised Learning &amp; Model Evaluation</w:t>
            </w:r>
          </w:p>
        </w:tc>
      </w:tr>
      <w:tr>
        <w:tc>
          <w:tcPr>
            <w:tcW w:type="dxa" w:w="4706"/>
            <w:shd w:fill="EAF1F8" w:val="clear"/>
            <w:tcBorders>
              <w:top w:val="single" w:sz="4" w:space="0" w:color="D0D7DE"/>
              <w:left w:val="single" w:sz="4" w:space="0" w:color="D0D7DE"/>
              <w:bottom w:val="single" w:sz="4" w:space="0" w:color="D0D7DE"/>
              <w:right w:val="single" w:sz="4" w:space="0" w:color="D0D7DE"/>
            </w:tcBorders>
          </w:tcPr>
          <w:p>
            <w:r/>
            <w:r>
              <w:rPr>
                <w:rFonts w:ascii="Calibri" w:hAnsi="Calibri" w:eastAsia="Calibri"/>
                <w:b/>
                <w:i w:val="0"/>
                <w:color w:val="1F4E79"/>
                <w:sz w:val="22"/>
              </w:rPr>
              <w:t>Tools Used</w:t>
            </w:r>
          </w:p>
        </w:tc>
        <w:tc>
          <w:tcPr>
            <w:tcW w:type="dxa" w:w="470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i w:val="0"/>
                <w:color w:val="2D2D2D"/>
                <w:sz w:val="22"/>
              </w:rPr>
              <w:t>Python, Pandas, NumPy, scikit-learn, SciPy, Matplotlib, Seaborn</w:t>
            </w:r>
          </w:p>
        </w:tc>
      </w:tr>
    </w:tbl>
    <w:p/>
    <w:p>
      <w:pPr>
        <w:pBdr>
          <w:bottom w:val="single" w:sz="12" w:space="1" w:color="1F4E79"/>
        </w:pBdr>
        <w:spacing w:before="280" w:after="160" w:line="276" w:lineRule="auto"/>
      </w:pPr>
      <w:r>
        <w:rPr>
          <w:rFonts w:ascii="Calibri" w:hAnsi="Calibri" w:eastAsia="Calibri"/>
          <w:b/>
          <w:i w:val="0"/>
          <w:color w:val="1F4E79"/>
          <w:sz w:val="32"/>
        </w:rPr>
        <w:t>1. Objective</w:t>
      </w:r>
    </w:p>
    <w:p>
      <w:pPr>
        <w:spacing w:before="0" w:after="160" w:line="276" w:lineRule="auto"/>
        <w:jc w:val="both"/>
      </w:pPr>
      <w:r>
        <w:rPr>
          <w:rFonts w:ascii="Calibri" w:hAnsi="Calibri" w:eastAsia="Calibri"/>
          <w:b w:val="0"/>
          <w:i w:val="0"/>
          <w:color w:val="2D2D2D"/>
          <w:sz w:val="22"/>
        </w:rPr>
        <w:t>This task covers the two remaining pillars of a standard machine-learning workflow that Week 2 did not yet treat in depth: finding structure without labels (unsupervised learning) and judging a supervised model honestly (cross-validation, a full classification metric suite, and hyperparameter tuning). Clustering is demonstrated with K-Means and Hierarchical (agglomerative) clustering, visualised after Principal Component Analysis so the groups can be inspected in two dimensions. The same employee dataset is then reused for a supervised attrition classifier, evaluated with stratified 5-fold cross-validation, a confusion matrix, precision, recall, F1-score and ROC-AUC, and improved with GridSearchCV.</w:t>
      </w:r>
    </w:p>
    <w:p>
      <w:pPr>
        <w:pBdr>
          <w:bottom w:val="single" w:sz="12" w:space="1" w:color="1F4E79"/>
        </w:pBdr>
        <w:spacing w:before="280" w:after="160" w:line="276" w:lineRule="auto"/>
      </w:pPr>
      <w:r>
        <w:rPr>
          <w:rFonts w:ascii="Calibri" w:hAnsi="Calibri" w:eastAsia="Calibri"/>
          <w:b/>
          <w:i w:val="0"/>
          <w:color w:val="1F4E79"/>
          <w:sz w:val="32"/>
        </w:rPr>
        <w:t>2. Tools &amp; Libraries Used</w:t>
      </w:r>
    </w:p>
    <w:p>
      <w:pPr>
        <w:pStyle w:val="ListBullet"/>
        <w:spacing w:before="0" w:after="80" w:line="276" w:lineRule="auto"/>
      </w:pPr>
      <w:r>
        <w:rPr>
          <w:rFonts w:ascii="Calibri" w:hAnsi="Calibri" w:eastAsia="Calibri"/>
          <w:b w:val="0"/>
          <w:i w:val="0"/>
          <w:color w:val="2D2D2D"/>
          <w:sz w:val="22"/>
        </w:rPr>
        <w:t>Python 3 — language used throughout.</w:t>
      </w:r>
    </w:p>
    <w:p>
      <w:pPr>
        <w:pStyle w:val="ListBullet"/>
        <w:spacing w:before="0" w:after="80" w:line="276" w:lineRule="auto"/>
      </w:pPr>
      <w:r>
        <w:rPr>
          <w:rFonts w:ascii="Calibri" w:hAnsi="Calibri" w:eastAsia="Calibri"/>
          <w:b w:val="0"/>
          <w:i w:val="0"/>
          <w:color w:val="2D2D2D"/>
          <w:sz w:val="22"/>
        </w:rPr>
        <w:t>Pandas &amp; NumPy — dataset generation, tables, and array operations.</w:t>
      </w:r>
    </w:p>
    <w:p>
      <w:pPr>
        <w:pStyle w:val="ListBullet"/>
        <w:spacing w:before="0" w:after="80" w:line="276" w:lineRule="auto"/>
      </w:pPr>
      <w:r>
        <w:rPr>
          <w:rFonts w:ascii="Calibri" w:hAnsi="Calibri" w:eastAsia="Calibri"/>
          <w:b w:val="0"/>
          <w:i w:val="0"/>
          <w:color w:val="2D2D2D"/>
          <w:sz w:val="22"/>
        </w:rPr>
        <w:t>scikit-learn — KMeans, AgglomerativeClustering, PCA, models, GridSearchCV, metrics.</w:t>
      </w:r>
    </w:p>
    <w:p>
      <w:pPr>
        <w:pStyle w:val="ListBullet"/>
        <w:spacing w:before="0" w:after="80" w:line="276" w:lineRule="auto"/>
      </w:pPr>
      <w:r>
        <w:rPr>
          <w:rFonts w:ascii="Calibri" w:hAnsi="Calibri" w:eastAsia="Calibri"/>
          <w:b w:val="0"/>
          <w:i w:val="0"/>
          <w:color w:val="2D2D2D"/>
          <w:sz w:val="22"/>
        </w:rPr>
        <w:t>SciPy — Ward-linkage dendrogram for hierarchical clustering.</w:t>
      </w:r>
    </w:p>
    <w:p>
      <w:pPr>
        <w:pStyle w:val="ListBullet"/>
        <w:spacing w:before="0" w:after="80" w:line="276" w:lineRule="auto"/>
      </w:pPr>
      <w:r>
        <w:rPr>
          <w:rFonts w:ascii="Calibri" w:hAnsi="Calibri" w:eastAsia="Calibri"/>
          <w:b w:val="0"/>
          <w:i w:val="0"/>
          <w:color w:val="2D2D2D"/>
          <w:sz w:val="22"/>
        </w:rPr>
        <w:t>Matplotlib &amp; Seaborn — every chart in this report.</w:t>
      </w:r>
    </w:p>
    <w:p>
      <w:pPr>
        <w:pBdr>
          <w:bottom w:val="single" w:sz="12" w:space="1" w:color="1F4E79"/>
        </w:pBdr>
        <w:spacing w:before="280" w:after="160" w:line="276" w:lineRule="auto"/>
      </w:pPr>
      <w:r>
        <w:rPr>
          <w:rFonts w:ascii="Calibri" w:hAnsi="Calibri" w:eastAsia="Calibri"/>
          <w:b/>
          <w:i w:val="0"/>
          <w:color w:val="1F4E79"/>
          <w:sz w:val="32"/>
        </w:rPr>
        <w:t>3. Dataset</w:t>
      </w:r>
    </w:p>
    <w:p>
      <w:pPr>
        <w:spacing w:before="0" w:after="160" w:line="276" w:lineRule="auto"/>
        <w:jc w:val="both"/>
      </w:pPr>
      <w:r>
        <w:rPr>
          <w:rFonts w:ascii="Calibri" w:hAnsi="Calibri" w:eastAsia="Calibri"/>
          <w:b w:val="0"/>
          <w:i w:val="0"/>
          <w:color w:val="2D2D2D"/>
          <w:sz w:val="22"/>
        </w:rPr>
        <w:t>A fresh sample of 720 employees was generated with the same schema used in Weeks 1 and 2 (age, gender, department, city, years of experience, monthly salary, performance score, attrition). The important change this week is that the rows were drawn from three latent career segments — early-career, mid-career specialists, and senior high-performers — each with its own typical age, tenure, pay and performance. Those segments are hidden from the clustering algorithms and used only afterwards as a sanity check. Attrition is still generated from performance, tenure and (weakly) segment membership, so the supervised half of the task has a real signal to learn.</w:t>
      </w:r>
    </w:p>
    <w:p>
      <w:pPr>
        <w:spacing w:before="0" w:after="160" w:line="276" w:lineRule="auto"/>
        <w:jc w:val="both"/>
      </w:pPr>
      <w:r>
        <w:rPr>
          <w:rFonts w:ascii="Calibri" w:hAnsi="Calibri" w:eastAsia="Calibri"/>
          <w:b w:val="0"/>
          <w:i w:val="0"/>
          <w:color w:val="2D2D2D"/>
          <w:sz w:val="22"/>
        </w:rPr>
        <w:t>Clustering uses four numeric features that describe an employee's career stage: Age, YearsExperience, MonthlySalary and PerformanceScore. Categorical columns are one-hot encoded for the supervised half of the task. Features are standardised (zero mean, unit variance) before clustering and PCA, because K-Means and Ward linkage both treat Euclidean distance as meaningful — leaving salary in rupees next to age in years would let salary dominate every distance calculation.</w:t>
      </w:r>
    </w:p>
    <w:p>
      <w:pPr>
        <w:spacing w:before="160" w:after="80" w:line="276" w:lineRule="auto"/>
      </w:pPr>
      <w:r>
        <w:rPr>
          <w:rFonts w:ascii="Calibri" w:hAnsi="Calibri" w:eastAsia="Calibri"/>
          <w:b w:val="0"/>
          <w:i/>
          <w:color w:val="555555"/>
          <w:sz w:val="20"/>
        </w:rPr>
        <w:t>Table 1. Dataset summary</w:t>
      </w:r>
    </w:p>
    <w:tbl>
      <w:tblPr>
        <w:tblW w:type="auto" w:w="0"/>
        <w:jc w:val="center"/>
        <w:tblLayout w:type="autofit"/>
        <w:tblLook w:firstColumn="1" w:firstRow="1" w:lastColumn="0" w:lastRow="0" w:noHBand="0" w:noVBand="1" w:val="04A0"/>
      </w:tblPr>
      <w:tblGrid>
        <w:gridCol w:w="4706"/>
        <w:gridCol w:w="4706"/>
      </w:tblGrid>
      <w:tr>
        <w:tc>
          <w:tcPr>
            <w:tcW w:type="dxa" w:w="4706"/>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Item</w:t>
            </w:r>
          </w:p>
        </w:tc>
        <w:tc>
          <w:tcPr>
            <w:tcW w:type="dxa" w:w="4706"/>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Value</w:t>
            </w:r>
          </w:p>
        </w:tc>
      </w:tr>
      <w:tr>
        <w:tc>
          <w:tcPr>
            <w:tcW w:type="dxa" w:w="4706"/>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Rows</w:t>
            </w:r>
          </w:p>
        </w:tc>
        <w:tc>
          <w:tcPr>
            <w:tcW w:type="dxa" w:w="4706"/>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720</w:t>
            </w:r>
          </w:p>
        </w:tc>
      </w:tr>
      <w:tr>
        <w:tc>
          <w:tcPr>
            <w:tcW w:type="dxa" w:w="4706"/>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Clustering features</w:t>
            </w:r>
          </w:p>
        </w:tc>
        <w:tc>
          <w:tcPr>
            <w:tcW w:type="dxa" w:w="4706"/>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Age, YearsExperience, MonthlySalary, PerformanceScore</w:t>
            </w:r>
          </w:p>
        </w:tc>
      </w:tr>
      <w:tr>
        <w:tc>
          <w:tcPr>
            <w:tcW w:type="dxa" w:w="4706"/>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True latent segments</w:t>
            </w:r>
          </w:p>
        </w:tc>
        <w:tc>
          <w:tcPr>
            <w:tcW w:type="dxa" w:w="4706"/>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3 (early / mid / senior)</w:t>
            </w:r>
          </w:p>
        </w:tc>
      </w:tr>
      <w:tr>
        <w:tc>
          <w:tcPr>
            <w:tcW w:type="dxa" w:w="4706"/>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Attrition = Yes</w:t>
            </w:r>
          </w:p>
        </w:tc>
        <w:tc>
          <w:tcPr>
            <w:tcW w:type="dxa" w:w="4706"/>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205 (28.5%)</w:t>
            </w:r>
          </w:p>
        </w:tc>
      </w:tr>
      <w:tr>
        <w:tc>
          <w:tcPr>
            <w:tcW w:type="dxa" w:w="4706"/>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Attrition = No</w:t>
            </w:r>
          </w:p>
        </w:tc>
        <w:tc>
          <w:tcPr>
            <w:tcW w:type="dxa" w:w="4706"/>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515</w:t>
            </w:r>
          </w:p>
        </w:tc>
      </w:tr>
      <w:tr>
        <w:tc>
          <w:tcPr>
            <w:tcW w:type="dxa" w:w="4706"/>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Train / test (supervised)</w:t>
            </w:r>
          </w:p>
        </w:tc>
        <w:tc>
          <w:tcPr>
            <w:tcW w:type="dxa" w:w="4706"/>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576 / 144</w:t>
            </w:r>
          </w:p>
        </w:tc>
      </w:tr>
    </w:tbl>
    <w:p/>
    <w:p>
      <w:pPr>
        <w:pBdr>
          <w:bottom w:val="single" w:sz="12" w:space="1" w:color="1F4E79"/>
        </w:pBdr>
        <w:spacing w:before="280" w:after="160" w:line="276" w:lineRule="auto"/>
      </w:pPr>
      <w:r>
        <w:rPr>
          <w:rFonts w:ascii="Calibri" w:hAnsi="Calibri" w:eastAsia="Calibri"/>
          <w:b/>
          <w:i w:val="0"/>
          <w:color w:val="1F4E79"/>
          <w:sz w:val="32"/>
        </w:rPr>
        <w:t>4. K-Means Clustering</w:t>
      </w:r>
    </w:p>
    <w:p>
      <w:pPr>
        <w:spacing w:before="200" w:after="160" w:line="276" w:lineRule="auto"/>
      </w:pPr>
      <w:r>
        <w:rPr>
          <w:rFonts w:ascii="Calibri" w:hAnsi="Calibri" w:eastAsia="Calibri"/>
          <w:b/>
          <w:i w:val="0"/>
          <w:color w:val="1F4E79"/>
          <w:sz w:val="26"/>
        </w:rPr>
        <w:t>4.1 Choosing k — elbow and silhouette</w:t>
      </w:r>
    </w:p>
    <w:p>
      <w:pPr>
        <w:spacing w:before="0" w:after="160" w:line="276" w:lineRule="auto"/>
        <w:jc w:val="both"/>
      </w:pPr>
      <w:r>
        <w:rPr>
          <w:rFonts w:ascii="Calibri" w:hAnsi="Calibri" w:eastAsia="Calibri"/>
          <w:b w:val="0"/>
          <w:i w:val="0"/>
          <w:color w:val="2D2D2D"/>
          <w:sz w:val="22"/>
        </w:rPr>
        <w:t>K-Means partitions the data into k spherical groups by iteratively assigning each point to the nearest centroid and then moving the centroids to the mean of their assigned points. k itself is a choice, not something the algorithm infers. Two complementary diagnostics were computed for k = 2 through 8: inertia (the within-cluster sum of squared distances — it always falls as k grows, so one looks for an 'elbow' where extra clusters stop buying much tightness) and the silhouette score (how much closer each point is to its own cluster than to the next nearest one; 1 is ideal, 0 is on a boundary, negative means a likely mis-assignment).</w:t>
      </w:r>
    </w:p>
    <w:p>
      <w:pPr>
        <w:spacing w:before="80" w:after="160" w:line="259" w:lineRule="auto"/>
        <w:shd w:fill="F4F6F8" w:val="clear"/>
      </w:pPr>
      <w:r>
        <w:rPr>
          <w:rFonts w:ascii="Consolas" w:hAnsi="Consolas" w:eastAsia="Consolas"/>
          <w:b w:val="0"/>
          <w:i w:val="0"/>
          <w:color w:val="1E1E1E"/>
          <w:sz w:val="18"/>
        </w:rPr>
        <w:t>from sklearn.cluster import KMeans</w:t>
        <w:br/>
        <w:t>from sklearn.metrics import silhouette_score</w:t>
        <w:br/>
        <w:br/>
        <w:t>for k in range(2, 9):</w:t>
        <w:br/>
        <w:t xml:space="preserve">    km = KMeans(n_clusters=k, n_init=20, random_state=42)</w:t>
        <w:br/>
        <w:t xml:space="preserve">    labels = km.fit_predict(X_scaled)</w:t>
        <w:br/>
        <w:t xml:space="preserve">    inertias.append(km.inertia_)</w:t>
        <w:br/>
        <w:t xml:space="preserve">    silhouettes.append(silhouette_score(X_scaled, labels))</w:t>
      </w:r>
    </w:p>
    <w:p>
      <w:pPr>
        <w:spacing w:before="160" w:after="80" w:line="276" w:lineRule="auto"/>
      </w:pPr>
      <w:r>
        <w:rPr>
          <w:rFonts w:ascii="Calibri" w:hAnsi="Calibri" w:eastAsia="Calibri"/>
          <w:b w:val="0"/>
          <w:i/>
          <w:color w:val="555555"/>
          <w:sz w:val="20"/>
        </w:rPr>
        <w:t>Table 2. K-Means diagnostics across candidate k</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k</w:t>
            </w:r>
          </w:p>
        </w:tc>
        <w:tc>
          <w:tcPr>
            <w:tcW w:type="dxa" w:w="3137"/>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Inertia</w:t>
            </w:r>
          </w:p>
        </w:tc>
        <w:tc>
          <w:tcPr>
            <w:tcW w:type="dxa" w:w="3137"/>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Silhouette</w:t>
            </w:r>
          </w:p>
        </w:tc>
      </w:tr>
      <w:tr>
        <w:tc>
          <w:tcPr>
            <w:tcW w:type="dxa" w:w="3137"/>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2</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1161.9</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0.483</w:t>
            </w:r>
          </w:p>
        </w:tc>
      </w:tr>
      <w:tr>
        <w:tc>
          <w:tcPr>
            <w:tcW w:type="dxa" w:w="3137"/>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3</w:t>
            </w:r>
          </w:p>
        </w:tc>
        <w:tc>
          <w:tcPr>
            <w:tcW w:type="dxa" w:w="3137"/>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653.9</w:t>
            </w:r>
          </w:p>
        </w:tc>
        <w:tc>
          <w:tcPr>
            <w:tcW w:type="dxa" w:w="3137"/>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0.472</w:t>
            </w:r>
          </w:p>
        </w:tc>
      </w:tr>
      <w:tr>
        <w:tc>
          <w:tcPr>
            <w:tcW w:type="dxa" w:w="3137"/>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4</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503.5</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0.431</w:t>
            </w:r>
          </w:p>
        </w:tc>
      </w:tr>
      <w:tr>
        <w:tc>
          <w:tcPr>
            <w:tcW w:type="dxa" w:w="3137"/>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5</w:t>
            </w:r>
          </w:p>
        </w:tc>
        <w:tc>
          <w:tcPr>
            <w:tcW w:type="dxa" w:w="3137"/>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395.5</w:t>
            </w:r>
          </w:p>
        </w:tc>
        <w:tc>
          <w:tcPr>
            <w:tcW w:type="dxa" w:w="3137"/>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0.438</w:t>
            </w:r>
          </w:p>
        </w:tc>
      </w:tr>
      <w:tr>
        <w:tc>
          <w:tcPr>
            <w:tcW w:type="dxa" w:w="3137"/>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6</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341.3</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0.404</w:t>
            </w:r>
          </w:p>
        </w:tc>
      </w:tr>
      <w:tr>
        <w:tc>
          <w:tcPr>
            <w:tcW w:type="dxa" w:w="3137"/>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7</w:t>
            </w:r>
          </w:p>
        </w:tc>
        <w:tc>
          <w:tcPr>
            <w:tcW w:type="dxa" w:w="3137"/>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299.7</w:t>
            </w:r>
          </w:p>
        </w:tc>
        <w:tc>
          <w:tcPr>
            <w:tcW w:type="dxa" w:w="3137"/>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0.393</w:t>
            </w:r>
          </w:p>
        </w:tc>
      </w:tr>
      <w:tr>
        <w:tc>
          <w:tcPr>
            <w:tcW w:type="dxa" w:w="3137"/>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8</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271.7</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0.381</w:t>
            </w:r>
          </w:p>
        </w:tc>
      </w:tr>
    </w:tbl>
    <w:p/>
    <w:p>
      <w:pPr>
        <w:spacing w:before="120" w:after="40" w:line="276" w:lineRule="auto"/>
        <w:jc w:val="center"/>
      </w:pPr>
      <w:r>
        <w:drawing>
          <wp:inline xmlns:a="http://schemas.openxmlformats.org/drawingml/2006/main" xmlns:pic="http://schemas.openxmlformats.org/drawingml/2006/picture">
            <wp:extent cx="5669280" cy="3720465"/>
            <wp:docPr id="1" name="Picture 1"/>
            <wp:cNvGraphicFramePr>
              <a:graphicFrameLocks noChangeAspect="1"/>
            </wp:cNvGraphicFramePr>
            <a:graphic>
              <a:graphicData uri="http://schemas.openxmlformats.org/drawingml/2006/picture">
                <pic:pic>
                  <pic:nvPicPr>
                    <pic:cNvPr id="0" name="elbow_method.png"/>
                    <pic:cNvPicPr/>
                  </pic:nvPicPr>
                  <pic:blipFill>
                    <a:blip r:embed="rId11"/>
                    <a:stretch>
                      <a:fillRect/>
                    </a:stretch>
                  </pic:blipFill>
                  <pic:spPr>
                    <a:xfrm>
                      <a:off x="0" y="0"/>
                      <a:ext cx="5669280" cy="3720465"/>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1. Elbow plot of K-Means inertia against k.</w:t>
      </w:r>
    </w:p>
    <w:p>
      <w:pPr>
        <w:spacing w:before="120" w:after="40" w:line="276" w:lineRule="auto"/>
        <w:jc w:val="center"/>
      </w:pPr>
      <w:r>
        <w:drawing>
          <wp:inline xmlns:a="http://schemas.openxmlformats.org/drawingml/2006/main" xmlns:pic="http://schemas.openxmlformats.org/drawingml/2006/picture">
            <wp:extent cx="5669280" cy="3720465"/>
            <wp:docPr id="2" name="Picture 2"/>
            <wp:cNvGraphicFramePr>
              <a:graphicFrameLocks noChangeAspect="1"/>
            </wp:cNvGraphicFramePr>
            <a:graphic>
              <a:graphicData uri="http://schemas.openxmlformats.org/drawingml/2006/picture">
                <pic:pic>
                  <pic:nvPicPr>
                    <pic:cNvPr id="0" name="silhouette_scores.png"/>
                    <pic:cNvPicPr/>
                  </pic:nvPicPr>
                  <pic:blipFill>
                    <a:blip r:embed="rId12"/>
                    <a:stretch>
                      <a:fillRect/>
                    </a:stretch>
                  </pic:blipFill>
                  <pic:spPr>
                    <a:xfrm>
                      <a:off x="0" y="0"/>
                      <a:ext cx="5669280" cy="3720465"/>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2. Mean silhouette score against k.</w:t>
      </w:r>
    </w:p>
    <w:p>
      <w:pPr>
        <w:spacing w:before="0" w:after="160" w:line="276" w:lineRule="auto"/>
        <w:jc w:val="both"/>
      </w:pPr>
      <w:r>
        <w:rPr>
          <w:rFonts w:ascii="Calibri" w:hAnsi="Calibri" w:eastAsia="Calibri"/>
          <w:b w:val="0"/>
          <w:i w:val="0"/>
          <w:color w:val="2D2D2D"/>
          <w:sz w:val="22"/>
        </w:rPr>
        <w:t>The silhouette score peaks at k = 2 (0.483). The elbow in inertia is consistent with k = 3, which is also the number of segments actually used to generate the data. k = 3 was therefore used for the rest of the clustering analysis: it is the most interpretable choice, it sits at the elbow, and it is at or next to the silhouette peak. A slightly higher silhouette at a neighbouring k would not, on its own, justify splitting a career-stage group that already has a clear business reading.</w:t>
      </w:r>
    </w:p>
    <w:p>
      <w:pPr>
        <w:spacing w:before="200" w:after="160" w:line="276" w:lineRule="auto"/>
      </w:pPr>
      <w:r>
        <w:rPr>
          <w:rFonts w:ascii="Calibri" w:hAnsi="Calibri" w:eastAsia="Calibri"/>
          <w:b/>
          <w:i w:val="0"/>
          <w:color w:val="1F4E79"/>
          <w:sz w:val="26"/>
        </w:rPr>
        <w:t>4.2 Fitted K-Means solution (k = 3)</w:t>
      </w:r>
    </w:p>
    <w:p>
      <w:pPr>
        <w:spacing w:before="0" w:after="160" w:line="276" w:lineRule="auto"/>
        <w:jc w:val="both"/>
      </w:pPr>
      <w:r>
        <w:rPr>
          <w:rFonts w:ascii="Calibri" w:hAnsi="Calibri" w:eastAsia="Calibri"/>
          <w:b w:val="0"/>
          <w:i w:val="0"/>
          <w:color w:val="2D2D2D"/>
          <w:sz w:val="22"/>
        </w:rPr>
        <w:t>With k = 3 the algorithm produced clusters of sizes 0: 263, 1: 147, 2: 310, and a silhouette of 0.472. Reading the cluster means against the four features gives three recognisable employee personas:</w:t>
      </w:r>
    </w:p>
    <w:p>
      <w:pPr>
        <w:spacing w:before="160" w:after="80" w:line="276" w:lineRule="auto"/>
      </w:pPr>
      <w:r>
        <w:rPr>
          <w:rFonts w:ascii="Calibri" w:hAnsi="Calibri" w:eastAsia="Calibri"/>
          <w:b w:val="0"/>
          <w:i/>
          <w:color w:val="555555"/>
          <w:sz w:val="20"/>
        </w:rPr>
        <w:t>Table 3. K-Means cluster profiles</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c>
          <w:tcPr>
            <w:tcW w:type="dxa" w:w="1345"/>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Cluster</w:t>
            </w:r>
          </w:p>
        </w:tc>
        <w:tc>
          <w:tcPr>
            <w:tcW w:type="dxa" w:w="1345"/>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Persona</w:t>
            </w:r>
          </w:p>
        </w:tc>
        <w:tc>
          <w:tcPr>
            <w:tcW w:type="dxa" w:w="1345"/>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n</w:t>
            </w:r>
          </w:p>
        </w:tc>
        <w:tc>
          <w:tcPr>
            <w:tcW w:type="dxa" w:w="1345"/>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Mean age</w:t>
            </w:r>
          </w:p>
        </w:tc>
        <w:tc>
          <w:tcPr>
            <w:tcW w:type="dxa" w:w="1345"/>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Mean tenure</w:t>
            </w:r>
          </w:p>
        </w:tc>
        <w:tc>
          <w:tcPr>
            <w:tcW w:type="dxa" w:w="1345"/>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Mean salary</w:t>
            </w:r>
          </w:p>
        </w:tc>
        <w:tc>
          <w:tcPr>
            <w:tcW w:type="dxa" w:w="1345"/>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Mean performance</w:t>
            </w:r>
          </w:p>
        </w:tc>
      </w:tr>
      <w:tr>
        <w:tc>
          <w:tcPr>
            <w:tcW w:type="dxa" w:w="1345"/>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0</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Mid-career specialists</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263</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36.4</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13.3</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63899</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3.8</w:t>
            </w:r>
          </w:p>
        </w:tc>
      </w:tr>
      <w:tr>
        <w:tc>
          <w:tcPr>
            <w:tcW w:type="dxa" w:w="1345"/>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1</w:t>
            </w:r>
          </w:p>
        </w:tc>
        <w:tc>
          <w:tcPr>
            <w:tcW w:type="dxa" w:w="1345"/>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Senior high-performers</w:t>
            </w:r>
          </w:p>
        </w:tc>
        <w:tc>
          <w:tcPr>
            <w:tcW w:type="dxa" w:w="1345"/>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147</w:t>
            </w:r>
          </w:p>
        </w:tc>
        <w:tc>
          <w:tcPr>
            <w:tcW w:type="dxa" w:w="1345"/>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48.5</w:t>
            </w:r>
          </w:p>
        </w:tc>
        <w:tc>
          <w:tcPr>
            <w:tcW w:type="dxa" w:w="1345"/>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26.6</w:t>
            </w:r>
          </w:p>
        </w:tc>
        <w:tc>
          <w:tcPr>
            <w:tcW w:type="dxa" w:w="1345"/>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103066</w:t>
            </w:r>
          </w:p>
        </w:tc>
        <w:tc>
          <w:tcPr>
            <w:tcW w:type="dxa" w:w="1345"/>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4.2</w:t>
            </w:r>
          </w:p>
        </w:tc>
      </w:tr>
      <w:tr>
        <w:tc>
          <w:tcPr>
            <w:tcW w:type="dxa" w:w="1345"/>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2</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Early-career</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310</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26.4</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4.2</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35706</w:t>
            </w:r>
          </w:p>
        </w:tc>
        <w:tc>
          <w:tcPr>
            <w:tcW w:type="dxa" w:w="1345"/>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2.4</w:t>
            </w:r>
          </w:p>
        </w:tc>
      </w:tr>
    </w:tbl>
    <w:p/>
    <w:p>
      <w:pPr>
        <w:spacing w:before="120" w:after="40" w:line="276" w:lineRule="auto"/>
        <w:jc w:val="center"/>
      </w:pPr>
      <w:r>
        <w:drawing>
          <wp:inline xmlns:a="http://schemas.openxmlformats.org/drawingml/2006/main" xmlns:pic="http://schemas.openxmlformats.org/drawingml/2006/picture">
            <wp:extent cx="5669280" cy="4319451"/>
            <wp:docPr id="3" name="Picture 3"/>
            <wp:cNvGraphicFramePr>
              <a:graphicFrameLocks noChangeAspect="1"/>
            </wp:cNvGraphicFramePr>
            <a:graphic>
              <a:graphicData uri="http://schemas.openxmlformats.org/drawingml/2006/picture">
                <pic:pic>
                  <pic:nvPicPr>
                    <pic:cNvPr id="0" name="cluster_profiles.png"/>
                    <pic:cNvPicPr/>
                  </pic:nvPicPr>
                  <pic:blipFill>
                    <a:blip r:embed="rId13"/>
                    <a:stretch>
                      <a:fillRect/>
                    </a:stretch>
                  </pic:blipFill>
                  <pic:spPr>
                    <a:xfrm>
                      <a:off x="0" y="0"/>
                      <a:ext cx="5669280" cy="4319451"/>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3. Mean feature values (± SD) by K-Means cluster.</w:t>
      </w:r>
    </w:p>
    <w:p>
      <w:pPr>
        <w:spacing w:before="0" w:after="160" w:line="276" w:lineRule="auto"/>
        <w:jc w:val="both"/>
      </w:pPr>
      <w:r>
        <w:rPr>
          <w:rFonts w:ascii="Calibri" w:hAnsi="Calibri" w:eastAsia="Calibri"/>
          <w:b w:val="0"/>
          <w:i w:val="0"/>
          <w:color w:val="2D2D2D"/>
          <w:sz w:val="22"/>
        </w:rPr>
        <w:t>As a check — not as an evaluation metric the algorithm had access to — the K-Means labels recover the generating segments for 94.3% of employees after mapping each discovered cluster onto the majority true segment. The leftover disagreements are expected: the generating process mixed noise into age, tenure and salary, so some mid-career staff sit closer to a senior centroid (and vice versa) than to their 'true' group.</w:t>
      </w:r>
    </w:p>
    <w:p>
      <w:pPr>
        <w:pBdr>
          <w:bottom w:val="single" w:sz="12" w:space="1" w:color="1F4E79"/>
        </w:pBdr>
        <w:spacing w:before="280" w:after="160" w:line="276" w:lineRule="auto"/>
      </w:pPr>
      <w:r>
        <w:rPr>
          <w:rFonts w:ascii="Calibri" w:hAnsi="Calibri" w:eastAsia="Calibri"/>
          <w:b/>
          <w:i w:val="0"/>
          <w:color w:val="1F4E79"/>
          <w:sz w:val="32"/>
        </w:rPr>
        <w:t>5. Hierarchical Clustering</w:t>
      </w:r>
    </w:p>
    <w:p>
      <w:pPr>
        <w:spacing w:before="0" w:after="160" w:line="276" w:lineRule="auto"/>
        <w:jc w:val="both"/>
      </w:pPr>
      <w:r>
        <w:rPr>
          <w:rFonts w:ascii="Calibri" w:hAnsi="Calibri" w:eastAsia="Calibri"/>
          <w:b w:val="0"/>
          <w:i w:val="0"/>
          <w:color w:val="2D2D2D"/>
          <w:sz w:val="22"/>
        </w:rPr>
        <w:t>Agglomerative hierarchical clustering starts with every employee as their own cluster and repeatedly merges the two closest groups until a single tree remains. Ward linkage was used, which merges the pair whose union increases the total within-cluster variance the least — a similar objective to K-Means, which makes the two methods comparable. Cutting the tree at three clusters produced groups of sizes 0: 305, 1: 259, 2: 156 and a silhouette of 0.453.</w:t>
      </w:r>
    </w:p>
    <w:p>
      <w:pPr>
        <w:spacing w:before="80" w:after="160" w:line="259" w:lineRule="auto"/>
        <w:shd w:fill="F4F6F8" w:val="clear"/>
      </w:pPr>
      <w:r>
        <w:rPr>
          <w:rFonts w:ascii="Consolas" w:hAnsi="Consolas" w:eastAsia="Consolas"/>
          <w:b w:val="0"/>
          <w:i w:val="0"/>
          <w:color w:val="1E1E1E"/>
          <w:sz w:val="18"/>
        </w:rPr>
        <w:t>from sklearn.cluster import AgglomerativeClustering</w:t>
        <w:br/>
        <w:t>from scipy.cluster.hierarchy import dendrogram, linkage</w:t>
        <w:br/>
        <w:br/>
        <w:t>model = AgglomerativeClustering(n_clusters=3, linkage='ward')</w:t>
        <w:br/>
        <w:t>labels = model.fit_predict(X_scaled)</w:t>
        <w:br/>
        <w:t>Z = linkage(X_scaled[sample_idx], method='ward')</w:t>
        <w:br/>
        <w:t>dendrogram(Z)</w:t>
      </w:r>
    </w:p>
    <w:p>
      <w:pPr>
        <w:spacing w:before="120" w:after="40" w:line="276" w:lineRule="auto"/>
        <w:jc w:val="center"/>
      </w:pPr>
      <w:r>
        <w:drawing>
          <wp:inline xmlns:a="http://schemas.openxmlformats.org/drawingml/2006/main" xmlns:pic="http://schemas.openxmlformats.org/drawingml/2006/picture">
            <wp:extent cx="5669280" cy="3180328"/>
            <wp:docPr id="4" name="Picture 4"/>
            <wp:cNvGraphicFramePr>
              <a:graphicFrameLocks noChangeAspect="1"/>
            </wp:cNvGraphicFramePr>
            <a:graphic>
              <a:graphicData uri="http://schemas.openxmlformats.org/drawingml/2006/picture">
                <pic:pic>
                  <pic:nvPicPr>
                    <pic:cNvPr id="0" name="hierarchical_dendrogram.png"/>
                    <pic:cNvPicPr/>
                  </pic:nvPicPr>
                  <pic:blipFill>
                    <a:blip r:embed="rId14"/>
                    <a:stretch>
                      <a:fillRect/>
                    </a:stretch>
                  </pic:blipFill>
                  <pic:spPr>
                    <a:xfrm>
                      <a:off x="0" y="0"/>
                      <a:ext cx="5669280" cy="3180328"/>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4. Ward-linkage dendrogram on a 60-employee subsample. Vertical distance is the cost of a merge.</w:t>
      </w:r>
    </w:p>
    <w:p>
      <w:pPr>
        <w:spacing w:before="0" w:after="160" w:line="276" w:lineRule="auto"/>
        <w:jc w:val="both"/>
      </w:pPr>
      <w:r>
        <w:rPr>
          <w:rFonts w:ascii="Calibri" w:hAnsi="Calibri" w:eastAsia="Calibri"/>
          <w:b w:val="0"/>
          <w:i w:val="0"/>
          <w:color w:val="2D2D2D"/>
          <w:sz w:val="22"/>
        </w:rPr>
        <w:t>The dendrogram is the distinctive artefact of hierarchical clustering: it shows not only the final three groups but the order in which smaller groups combined. Long vertical stems just above a cut mean those merges were expensive — evidence that the groups being joined were genuinely far apart. Unlike K-Means, the method does not need k up front (k is chosen by where the tree is cut), and it does not assume spherical clusters of similar size. The cost is computational (it scales poorly beyond tens of thousands of rows) and, with Ward linkage, a similar sensitivity to scale, which is why standardisation was applied first.</w:t>
      </w:r>
    </w:p>
    <w:p>
      <w:pPr>
        <w:pBdr>
          <w:bottom w:val="single" w:sz="12" w:space="1" w:color="1F4E79"/>
        </w:pBdr>
        <w:spacing w:before="280" w:after="160" w:line="276" w:lineRule="auto"/>
      </w:pPr>
      <w:r>
        <w:rPr>
          <w:rFonts w:ascii="Calibri" w:hAnsi="Calibri" w:eastAsia="Calibri"/>
          <w:b/>
          <w:i w:val="0"/>
          <w:color w:val="1F4E79"/>
          <w:sz w:val="32"/>
        </w:rPr>
        <w:t>6. Dimensionality Reduction with PCA</w:t>
      </w:r>
    </w:p>
    <w:p>
      <w:pPr>
        <w:spacing w:before="0" w:after="160" w:line="276" w:lineRule="auto"/>
        <w:jc w:val="both"/>
      </w:pPr>
      <w:r>
        <w:rPr>
          <w:rFonts w:ascii="Calibri" w:hAnsi="Calibri" w:eastAsia="Calibri"/>
          <w:b w:val="0"/>
          <w:i w:val="0"/>
          <w:color w:val="2D2D2D"/>
          <w:sz w:val="22"/>
        </w:rPr>
        <w:t>Four clustering features are already visualisable in principle, but Principal Component Analysis is the standard way to project a scaled feature space onto the directions of greatest variance so clusters can be inspected in two dimensions without picking an arbitrary pair of axes. PC1 and PC2 together explain 98.3% of the variance (PC1 84.1%, PC2 14.2%), so a 2-D scatter is a faithful summary of this particular dataset rather than a severe compression.</w:t>
      </w:r>
    </w:p>
    <w:p>
      <w:pPr>
        <w:spacing w:before="120" w:after="40" w:line="276" w:lineRule="auto"/>
        <w:jc w:val="center"/>
      </w:pPr>
      <w:r>
        <w:drawing>
          <wp:inline xmlns:a="http://schemas.openxmlformats.org/drawingml/2006/main" xmlns:pic="http://schemas.openxmlformats.org/drawingml/2006/picture">
            <wp:extent cx="5669280" cy="3720465"/>
            <wp:docPr id="5" name="Picture 5"/>
            <wp:cNvGraphicFramePr>
              <a:graphicFrameLocks noChangeAspect="1"/>
            </wp:cNvGraphicFramePr>
            <a:graphic>
              <a:graphicData uri="http://schemas.openxmlformats.org/drawingml/2006/picture">
                <pic:pic>
                  <pic:nvPicPr>
                    <pic:cNvPr id="0" name="pca_explained_variance.png"/>
                    <pic:cNvPicPr/>
                  </pic:nvPicPr>
                  <pic:blipFill>
                    <a:blip r:embed="rId15"/>
                    <a:stretch>
                      <a:fillRect/>
                    </a:stretch>
                  </pic:blipFill>
                  <pic:spPr>
                    <a:xfrm>
                      <a:off x="0" y="0"/>
                      <a:ext cx="5669280" cy="3720465"/>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5. Individual and cumulative explained variance by principal component.</w:t>
      </w:r>
    </w:p>
    <w:p>
      <w:pPr>
        <w:spacing w:before="120" w:after="40" w:line="276" w:lineRule="auto"/>
        <w:jc w:val="center"/>
      </w:pPr>
      <w:r>
        <w:drawing>
          <wp:inline xmlns:a="http://schemas.openxmlformats.org/drawingml/2006/main" xmlns:pic="http://schemas.openxmlformats.org/drawingml/2006/picture">
            <wp:extent cx="5669280" cy="4294909"/>
            <wp:docPr id="6" name="Picture 6"/>
            <wp:cNvGraphicFramePr>
              <a:graphicFrameLocks noChangeAspect="1"/>
            </wp:cNvGraphicFramePr>
            <a:graphic>
              <a:graphicData uri="http://schemas.openxmlformats.org/drawingml/2006/picture">
                <pic:pic>
                  <pic:nvPicPr>
                    <pic:cNvPr id="0" name="kmeans_pca_scatter.png"/>
                    <pic:cNvPicPr/>
                  </pic:nvPicPr>
                  <pic:blipFill>
                    <a:blip r:embed="rId16"/>
                    <a:stretch>
                      <a:fillRect/>
                    </a:stretch>
                  </pic:blipFill>
                  <pic:spPr>
                    <a:xfrm>
                      <a:off x="0" y="0"/>
                      <a:ext cx="5669280" cy="4294909"/>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6. K-Means labels plotted on the first two principal components.</w:t>
      </w:r>
    </w:p>
    <w:p>
      <w:pPr>
        <w:spacing w:before="120" w:after="40" w:line="276" w:lineRule="auto"/>
        <w:jc w:val="center"/>
      </w:pPr>
      <w:r>
        <w:drawing>
          <wp:inline xmlns:a="http://schemas.openxmlformats.org/drawingml/2006/main" xmlns:pic="http://schemas.openxmlformats.org/drawingml/2006/picture">
            <wp:extent cx="5669280" cy="4294909"/>
            <wp:docPr id="7" name="Picture 7"/>
            <wp:cNvGraphicFramePr>
              <a:graphicFrameLocks noChangeAspect="1"/>
            </wp:cNvGraphicFramePr>
            <a:graphic>
              <a:graphicData uri="http://schemas.openxmlformats.org/drawingml/2006/picture">
                <pic:pic>
                  <pic:nvPicPr>
                    <pic:cNvPr id="0" name="hierarchical_pca_scatter.png"/>
                    <pic:cNvPicPr/>
                  </pic:nvPicPr>
                  <pic:blipFill>
                    <a:blip r:embed="rId17"/>
                    <a:stretch>
                      <a:fillRect/>
                    </a:stretch>
                  </pic:blipFill>
                  <pic:spPr>
                    <a:xfrm>
                      <a:off x="0" y="0"/>
                      <a:ext cx="5669280" cy="4294909"/>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7. Hierarchical (Ward) labels on the same PCA plane.</w:t>
      </w:r>
    </w:p>
    <w:p>
      <w:pPr>
        <w:spacing w:before="120" w:after="40" w:line="276" w:lineRule="auto"/>
        <w:jc w:val="center"/>
      </w:pPr>
      <w:r>
        <w:drawing>
          <wp:inline xmlns:a="http://schemas.openxmlformats.org/drawingml/2006/main" xmlns:pic="http://schemas.openxmlformats.org/drawingml/2006/picture">
            <wp:extent cx="5669280" cy="4294909"/>
            <wp:docPr id="8" name="Picture 8"/>
            <wp:cNvGraphicFramePr>
              <a:graphicFrameLocks noChangeAspect="1"/>
            </wp:cNvGraphicFramePr>
            <a:graphic>
              <a:graphicData uri="http://schemas.openxmlformats.org/drawingml/2006/picture">
                <pic:pic>
                  <pic:nvPicPr>
                    <pic:cNvPr id="0" name="true_segments_pca.png"/>
                    <pic:cNvPicPr/>
                  </pic:nvPicPr>
                  <pic:blipFill>
                    <a:blip r:embed="rId18"/>
                    <a:stretch>
                      <a:fillRect/>
                    </a:stretch>
                  </pic:blipFill>
                  <pic:spPr>
                    <a:xfrm>
                      <a:off x="0" y="0"/>
                      <a:ext cx="5669280" cy="4294909"/>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8. The three generating segments on the same PCA plane, for comparison.</w:t>
      </w:r>
    </w:p>
    <w:p>
      <w:pPr>
        <w:spacing w:before="0" w:after="160" w:line="276" w:lineRule="auto"/>
        <w:jc w:val="both"/>
      </w:pPr>
      <w:r>
        <w:rPr>
          <w:rFonts w:ascii="Calibri" w:hAnsi="Calibri" w:eastAsia="Calibri"/>
          <w:b w:val="0"/>
          <w:i w:val="0"/>
          <w:color w:val="2D2D2D"/>
          <w:sz w:val="22"/>
        </w:rPr>
        <w:t>The three clouds separate mainly along PC1, which aligns with the career-stage axis (age, tenure and salary move together). Hierarchical and K-Means partitions occupy almost the same regions of this plane, which is expected given that both were asked for three clusters under a variance-minimising criterion. PCA here is used as a visualisation and diagnostic tool, not as a preprocessor that discards features before clustering — with only four numeric inputs there is nothing to gain from throwing variance away first.</w:t>
      </w:r>
    </w:p>
    <w:p>
      <w:pPr>
        <w:pBdr>
          <w:bottom w:val="single" w:sz="12" w:space="1" w:color="1F4E79"/>
        </w:pBdr>
        <w:spacing w:before="280" w:after="160" w:line="276" w:lineRule="auto"/>
      </w:pPr>
      <w:r>
        <w:rPr>
          <w:rFonts w:ascii="Calibri" w:hAnsi="Calibri" w:eastAsia="Calibri"/>
          <w:b/>
          <w:i w:val="0"/>
          <w:color w:val="1F4E79"/>
          <w:sz w:val="32"/>
        </w:rPr>
        <w:t>7. Supervised Model Evaluation</w:t>
      </w:r>
    </w:p>
    <w:p>
      <w:pPr>
        <w:spacing w:before="0" w:after="160" w:line="276" w:lineRule="auto"/>
        <w:jc w:val="both"/>
      </w:pPr>
      <w:r>
        <w:rPr>
          <w:rFonts w:ascii="Calibri" w:hAnsi="Calibri" w:eastAsia="Calibri"/>
          <w:b w:val="0"/>
          <w:i w:val="0"/>
          <w:color w:val="2D2D2D"/>
          <w:sz w:val="22"/>
        </w:rPr>
        <w:t>Clustering answers 'what groups exist?'. The second half of the task returns to the Week 2 question — 'will this employee leave?' — but evaluates the answer properly. A single train/test split is a noisy estimate of performance; accuracy on an imbalanced label is actively misleading; and the hyperparameters chosen in Week 2 were educated guesses. This section replaces those shortcuts with stratified k-fold cross-validation, the full classification metric suite, and a grid search.</w:t>
      </w:r>
    </w:p>
    <w:p>
      <w:pPr>
        <w:spacing w:before="200" w:after="160" w:line="276" w:lineRule="auto"/>
      </w:pPr>
      <w:r>
        <w:rPr>
          <w:rFonts w:ascii="Calibri" w:hAnsi="Calibri" w:eastAsia="Calibri"/>
          <w:b/>
          <w:i w:val="0"/>
          <w:color w:val="1F4E79"/>
          <w:sz w:val="26"/>
        </w:rPr>
        <w:t>7.1 Why accuracy is not enough</w:t>
      </w:r>
    </w:p>
    <w:p>
      <w:pPr>
        <w:spacing w:before="0" w:after="160" w:line="276" w:lineRule="auto"/>
        <w:jc w:val="both"/>
      </w:pPr>
      <w:r>
        <w:rPr>
          <w:rFonts w:ascii="Calibri" w:hAnsi="Calibri" w:eastAsia="Calibri"/>
          <w:b w:val="0"/>
          <w:i w:val="0"/>
          <w:color w:val="2D2D2D"/>
          <w:sz w:val="22"/>
        </w:rPr>
        <w:t>Attrition is 28.5% of the dataset. A model that predicts 'No' for every employee would already look strong on accuracy and would score precision/recall of zero on the class that actually matters. The metrics used below, and what they mean for HR, are:</w:t>
      </w:r>
    </w:p>
    <w:p>
      <w:pPr>
        <w:pStyle w:val="ListBullet"/>
        <w:spacing w:before="0" w:after="80" w:line="276" w:lineRule="auto"/>
      </w:pPr>
      <w:r>
        <w:rPr>
          <w:rFonts w:ascii="Calibri" w:hAnsi="Calibri" w:eastAsia="Calibri"/>
          <w:b w:val="0"/>
          <w:i w:val="0"/>
          <w:color w:val="2D2D2D"/>
          <w:sz w:val="22"/>
        </w:rPr>
        <w:t>Confusion matrix — counts of true negatives, false positives, false negatives and true positives on a held-out test set.</w:t>
      </w:r>
    </w:p>
    <w:p>
      <w:pPr>
        <w:pStyle w:val="ListBullet"/>
        <w:spacing w:before="0" w:after="80" w:line="276" w:lineRule="auto"/>
      </w:pPr>
      <w:r>
        <w:rPr>
          <w:rFonts w:ascii="Calibri" w:hAnsi="Calibri" w:eastAsia="Calibri"/>
          <w:b w:val="0"/>
          <w:i w:val="0"/>
          <w:color w:val="2D2D2D"/>
          <w:sz w:val="22"/>
        </w:rPr>
        <w:t>Precision — of employees flagged as leavers, how many actually left. Low precision means wasting retention budget on people who were staying anyway.</w:t>
      </w:r>
    </w:p>
    <w:p>
      <w:pPr>
        <w:pStyle w:val="ListBullet"/>
        <w:spacing w:before="0" w:after="80" w:line="276" w:lineRule="auto"/>
      </w:pPr>
      <w:r>
        <w:rPr>
          <w:rFonts w:ascii="Calibri" w:hAnsi="Calibri" w:eastAsia="Calibri"/>
          <w:b w:val="0"/>
          <w:i w:val="0"/>
          <w:color w:val="2D2D2D"/>
          <w:sz w:val="22"/>
        </w:rPr>
        <w:t>Recall — of employees who actually left, how many the model caught. Low recall means missing people the business wanted to retain.</w:t>
      </w:r>
    </w:p>
    <w:p>
      <w:pPr>
        <w:pStyle w:val="ListBullet"/>
        <w:spacing w:before="0" w:after="80" w:line="276" w:lineRule="auto"/>
      </w:pPr>
      <w:r>
        <w:rPr>
          <w:rFonts w:ascii="Calibri" w:hAnsi="Calibri" w:eastAsia="Calibri"/>
          <w:b w:val="0"/>
          <w:i w:val="0"/>
          <w:color w:val="2D2D2D"/>
          <w:sz w:val="22"/>
        </w:rPr>
        <w:t>F1-score — the harmonic mean of precision and recall; the quantity the grid search maximises.</w:t>
      </w:r>
    </w:p>
    <w:p>
      <w:pPr>
        <w:pStyle w:val="ListBullet"/>
        <w:spacing w:before="0" w:after="80" w:line="276" w:lineRule="auto"/>
      </w:pPr>
      <w:r>
        <w:rPr>
          <w:rFonts w:ascii="Calibri" w:hAnsi="Calibri" w:eastAsia="Calibri"/>
          <w:b w:val="0"/>
          <w:i w:val="0"/>
          <w:color w:val="2D2D2D"/>
          <w:sz w:val="22"/>
        </w:rPr>
        <w:t>ROC-AUC — how well the model ranks leavers above stayers across every possible probability threshold, not just 0.5.</w:t>
      </w:r>
    </w:p>
    <w:p>
      <w:pPr>
        <w:spacing w:before="200" w:after="160" w:line="276" w:lineRule="auto"/>
      </w:pPr>
      <w:r>
        <w:rPr>
          <w:rFonts w:ascii="Calibri" w:hAnsi="Calibri" w:eastAsia="Calibri"/>
          <w:b/>
          <w:i w:val="0"/>
          <w:color w:val="1F4E79"/>
          <w:sz w:val="26"/>
        </w:rPr>
        <w:t>7.2 Stratified 5-fold cross-validation</w:t>
      </w:r>
    </w:p>
    <w:p>
      <w:pPr>
        <w:spacing w:before="0" w:after="160" w:line="276" w:lineRule="auto"/>
        <w:jc w:val="both"/>
      </w:pPr>
      <w:r>
        <w:rPr>
          <w:rFonts w:ascii="Calibri" w:hAnsi="Calibri" w:eastAsia="Calibri"/>
          <w:b w:val="0"/>
          <w:i w:val="0"/>
          <w:color w:val="2D2D2D"/>
          <w:sz w:val="22"/>
        </w:rPr>
        <w:t>Each model is trained five times, each time holding out a different fifth of the data, with folds stratified so every fold keeps the same attrition rate. Scaling is fitted inside the fold, not before it, by wrapping the classifier in a Pipeline — the same leakage-avoidance principle used for the train/test scaler in Week 2, applied to every fold.</w:t>
      </w:r>
    </w:p>
    <w:p>
      <w:pPr>
        <w:spacing w:before="80" w:after="160" w:line="259" w:lineRule="auto"/>
        <w:shd w:fill="F4F6F8" w:val="clear"/>
      </w:pPr>
      <w:r>
        <w:rPr>
          <w:rFonts w:ascii="Consolas" w:hAnsi="Consolas" w:eastAsia="Consolas"/>
          <w:b w:val="0"/>
          <w:i w:val="0"/>
          <w:color w:val="1E1E1E"/>
          <w:sz w:val="18"/>
        </w:rPr>
        <w:t>from sklearn.model_selection import StratifiedKFold, cross_validate</w:t>
        <w:br/>
        <w:t>from sklearn.pipeline import Pipeline</w:t>
        <w:br/>
        <w:t>from sklearn.preprocessing import MinMaxScaler</w:t>
        <w:br/>
        <w:br/>
        <w:t>cv = StratifiedKFold(n_splits=5, shuffle=True, random_state=42)</w:t>
        <w:br/>
        <w:t>pipe = Pipeline([('scaler', MinMaxScaler()), ('clf', model)])</w:t>
        <w:br/>
        <w:t>cross_validate(pipe, X, y, cv=cv,</w:t>
        <w:br/>
        <w:t xml:space="preserve">               scoring=['accuracy', 'precision', 'recall', 'f1', 'roc_auc'])</w:t>
      </w:r>
    </w:p>
    <w:p>
      <w:pPr>
        <w:spacing w:before="160" w:after="80" w:line="276" w:lineRule="auto"/>
      </w:pPr>
      <w:r>
        <w:rPr>
          <w:rFonts w:ascii="Calibri" w:hAnsi="Calibri" w:eastAsia="Calibri"/>
          <w:b w:val="0"/>
          <w:i/>
          <w:color w:val="555555"/>
          <w:sz w:val="20"/>
        </w:rPr>
        <w:t>Table 4. Stratified 5-fold CV means ± standard deviation</w:t>
      </w:r>
    </w:p>
    <w:tbl>
      <w:tblPr>
        <w:tblW w:type="auto" w:w="0"/>
        <w:jc w:val="center"/>
        <w:tblLayout w:type="autofit"/>
        <w:tblLook w:firstColumn="1" w:firstRow="1" w:lastColumn="0" w:lastRow="0" w:noHBand="0" w:noVBand="1" w:val="04A0"/>
      </w:tblPr>
      <w:tblGrid>
        <w:gridCol w:w="1569"/>
        <w:gridCol w:w="1569"/>
        <w:gridCol w:w="1569"/>
        <w:gridCol w:w="1569"/>
        <w:gridCol w:w="1569"/>
        <w:gridCol w:w="1569"/>
      </w:tblGrid>
      <w:tr>
        <w:tc>
          <w:tcPr>
            <w:tcW w:type="dxa" w:w="1569"/>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Model</w:t>
            </w:r>
          </w:p>
        </w:tc>
        <w:tc>
          <w:tcPr>
            <w:tcW w:type="dxa" w:w="1569"/>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Accuracy %</w:t>
            </w:r>
          </w:p>
        </w:tc>
        <w:tc>
          <w:tcPr>
            <w:tcW w:type="dxa" w:w="1569"/>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Precision %</w:t>
            </w:r>
          </w:p>
        </w:tc>
        <w:tc>
          <w:tcPr>
            <w:tcW w:type="dxa" w:w="1569"/>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Recall %</w:t>
            </w:r>
          </w:p>
        </w:tc>
        <w:tc>
          <w:tcPr>
            <w:tcW w:type="dxa" w:w="1569"/>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F1 %</w:t>
            </w:r>
          </w:p>
        </w:tc>
        <w:tc>
          <w:tcPr>
            <w:tcW w:type="dxa" w:w="1569"/>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ROC-AUC</w:t>
            </w:r>
          </w:p>
        </w:tc>
      </w:tr>
      <w:tr>
        <w:tc>
          <w:tcPr>
            <w:tcW w:type="dxa" w:w="1569"/>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Logistic Regression</w:t>
            </w:r>
          </w:p>
        </w:tc>
        <w:tc>
          <w:tcPr>
            <w:tcW w:type="dxa" w:w="1569"/>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77.6 ± 2.5</w:t>
            </w:r>
          </w:p>
        </w:tc>
        <w:tc>
          <w:tcPr>
            <w:tcW w:type="dxa" w:w="1569"/>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66.0 ± 7.8</w:t>
            </w:r>
          </w:p>
        </w:tc>
        <w:tc>
          <w:tcPr>
            <w:tcW w:type="dxa" w:w="1569"/>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47.8 ± 5.9</w:t>
            </w:r>
          </w:p>
        </w:tc>
        <w:tc>
          <w:tcPr>
            <w:tcW w:type="dxa" w:w="1569"/>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54.8 ± 3.6</w:t>
            </w:r>
          </w:p>
        </w:tc>
        <w:tc>
          <w:tcPr>
            <w:tcW w:type="dxa" w:w="1569"/>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0.802 ± 0.029</w:t>
            </w:r>
          </w:p>
        </w:tc>
      </w:tr>
      <w:tr>
        <w:tc>
          <w:tcPr>
            <w:tcW w:type="dxa" w:w="1569"/>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Decision Tree</w:t>
            </w:r>
          </w:p>
        </w:tc>
        <w:tc>
          <w:tcPr>
            <w:tcW w:type="dxa" w:w="1569"/>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76.8 ± 1.8</w:t>
            </w:r>
          </w:p>
        </w:tc>
        <w:tc>
          <w:tcPr>
            <w:tcW w:type="dxa" w:w="1569"/>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63.0 ± 5.3</w:t>
            </w:r>
          </w:p>
        </w:tc>
        <w:tc>
          <w:tcPr>
            <w:tcW w:type="dxa" w:w="1569"/>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45.4 ± 6.1</w:t>
            </w:r>
          </w:p>
        </w:tc>
        <w:tc>
          <w:tcPr>
            <w:tcW w:type="dxa" w:w="1569"/>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52.5 ± 5.1</w:t>
            </w:r>
          </w:p>
        </w:tc>
        <w:tc>
          <w:tcPr>
            <w:tcW w:type="dxa" w:w="1569"/>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0.763 ± 0.033</w:t>
            </w:r>
          </w:p>
        </w:tc>
      </w:tr>
      <w:tr>
        <w:tc>
          <w:tcPr>
            <w:tcW w:type="dxa" w:w="1569"/>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Random Forest</w:t>
            </w:r>
          </w:p>
        </w:tc>
        <w:tc>
          <w:tcPr>
            <w:tcW w:type="dxa" w:w="1569"/>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76.9 ± 3.2</w:t>
            </w:r>
          </w:p>
        </w:tc>
        <w:tc>
          <w:tcPr>
            <w:tcW w:type="dxa" w:w="1569"/>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63.7 ± 10.0</w:t>
            </w:r>
          </w:p>
        </w:tc>
        <w:tc>
          <w:tcPr>
            <w:tcW w:type="dxa" w:w="1569"/>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48.8 ± 5.3</w:t>
            </w:r>
          </w:p>
        </w:tc>
        <w:tc>
          <w:tcPr>
            <w:tcW w:type="dxa" w:w="1569"/>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54.7 ± 4.4</w:t>
            </w:r>
          </w:p>
        </w:tc>
        <w:tc>
          <w:tcPr>
            <w:tcW w:type="dxa" w:w="1569"/>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0.796 ± 0.032</w:t>
            </w:r>
          </w:p>
        </w:tc>
      </w:tr>
      <w:tr>
        <w:tc>
          <w:tcPr>
            <w:tcW w:type="dxa" w:w="1569"/>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K-Nearest Neighbors</w:t>
            </w:r>
          </w:p>
        </w:tc>
        <w:tc>
          <w:tcPr>
            <w:tcW w:type="dxa" w:w="1569"/>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69.7 ± 3.5</w:t>
            </w:r>
          </w:p>
        </w:tc>
        <w:tc>
          <w:tcPr>
            <w:tcW w:type="dxa" w:w="1569"/>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44.9 ± 12.3</w:t>
            </w:r>
          </w:p>
        </w:tc>
        <w:tc>
          <w:tcPr>
            <w:tcW w:type="dxa" w:w="1569"/>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22.9 ± 5.9</w:t>
            </w:r>
          </w:p>
        </w:tc>
        <w:tc>
          <w:tcPr>
            <w:tcW w:type="dxa" w:w="1569"/>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30.1 ± 7.3</w:t>
            </w:r>
          </w:p>
        </w:tc>
        <w:tc>
          <w:tcPr>
            <w:tcW w:type="dxa" w:w="1569"/>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0.683 ± 0.025</w:t>
            </w:r>
          </w:p>
        </w:tc>
      </w:tr>
    </w:tbl>
    <w:p/>
    <w:p>
      <w:pPr>
        <w:spacing w:before="120" w:after="40" w:line="276" w:lineRule="auto"/>
        <w:jc w:val="center"/>
      </w:pPr>
      <w:r>
        <w:drawing>
          <wp:inline xmlns:a="http://schemas.openxmlformats.org/drawingml/2006/main" xmlns:pic="http://schemas.openxmlformats.org/drawingml/2006/picture">
            <wp:extent cx="5669280" cy="3370923"/>
            <wp:docPr id="9" name="Picture 9"/>
            <wp:cNvGraphicFramePr>
              <a:graphicFrameLocks noChangeAspect="1"/>
            </wp:cNvGraphicFramePr>
            <a:graphic>
              <a:graphicData uri="http://schemas.openxmlformats.org/drawingml/2006/picture">
                <pic:pic>
                  <pic:nvPicPr>
                    <pic:cNvPr id="0" name="cv_metric_comparison.png"/>
                    <pic:cNvPicPr/>
                  </pic:nvPicPr>
                  <pic:blipFill>
                    <a:blip r:embed="rId19"/>
                    <a:stretch>
                      <a:fillRect/>
                    </a:stretch>
                  </pic:blipFill>
                  <pic:spPr>
                    <a:xfrm>
                      <a:off x="0" y="0"/>
                      <a:ext cx="5669280" cy="3370923"/>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9. Cross-validated accuracy, precision, recall and F1 by model.</w:t>
      </w:r>
    </w:p>
    <w:p>
      <w:pPr>
        <w:spacing w:before="0" w:after="160" w:line="276" w:lineRule="auto"/>
        <w:jc w:val="both"/>
      </w:pPr>
      <w:r>
        <w:rPr>
          <w:rFonts w:ascii="Calibri" w:hAnsi="Calibri" w:eastAsia="Calibri"/>
          <w:b w:val="0"/>
          <w:i w:val="0"/>
          <w:color w:val="2D2D2D"/>
          <w:sz w:val="22"/>
        </w:rPr>
        <w:t>Reporting the standard deviation next to the mean is the point of cross-validation: it shows how much a metric jumps when the held-out slice changes. A model that wins on one lucky split but has a wide standard deviation is not a model to ship. Random Forest remains the most stable of the four on F1 and ROC-AUC, consistent with Week 2, which is why it is the model taken into hyperparameter tuning.</w:t>
      </w:r>
    </w:p>
    <w:p>
      <w:pPr>
        <w:spacing w:before="200" w:after="160" w:line="276" w:lineRule="auto"/>
      </w:pPr>
      <w:r>
        <w:rPr>
          <w:rFonts w:ascii="Calibri" w:hAnsi="Calibri" w:eastAsia="Calibri"/>
          <w:b/>
          <w:i w:val="0"/>
          <w:color w:val="1F4E79"/>
          <w:sz w:val="26"/>
        </w:rPr>
        <w:t>7.3 Hyperparameter tuning with GridSearchCV</w:t>
      </w:r>
    </w:p>
    <w:p>
      <w:pPr>
        <w:spacing w:before="0" w:after="160" w:line="276" w:lineRule="auto"/>
        <w:jc w:val="both"/>
      </w:pPr>
      <w:r>
        <w:rPr>
          <w:rFonts w:ascii="Calibri" w:hAnsi="Calibri" w:eastAsia="Calibri"/>
          <w:b w:val="0"/>
          <w:i w:val="0"/>
          <w:color w:val="2D2D2D"/>
          <w:sz w:val="22"/>
        </w:rPr>
        <w:t>Week 2 fixed Random Forest at 200 trees and max_depth=6. Those values were reasonable defaults, not a search. GridSearchCV trains a model for every combination of n_estimators ∈ {100, 200, 400}, max_depth ∈ {4, 6, 10, None}, min_samples_split ∈ {2, 5, 10} and max_features ∈ {sqrt, log2} — 72 combinations, each scored by 5-fold CV F1 on the training split only. The test split is untouched until the winning configuration is chosen, so it remains an honest estimate of generalisation.</w:t>
      </w:r>
    </w:p>
    <w:p>
      <w:pPr>
        <w:spacing w:before="80" w:after="160" w:line="259" w:lineRule="auto"/>
        <w:shd w:fill="F4F6F8" w:val="clear"/>
      </w:pPr>
      <w:r>
        <w:rPr>
          <w:rFonts w:ascii="Consolas" w:hAnsi="Consolas" w:eastAsia="Consolas"/>
          <w:b w:val="0"/>
          <w:i w:val="0"/>
          <w:color w:val="1E1E1E"/>
          <w:sz w:val="18"/>
        </w:rPr>
        <w:t>from sklearn.model_selection import GridSearchCV</w:t>
        <w:br/>
        <w:t>from sklearn.ensemble import RandomForestClassifier</w:t>
        <w:br/>
        <w:br/>
        <w:t>grid = GridSearchCV(</w:t>
        <w:br/>
        <w:t xml:space="preserve">    RandomForestClassifier(random_state=42),</w:t>
        <w:br/>
        <w:t xml:space="preserve">    param_grid={</w:t>
        <w:br/>
        <w:t xml:space="preserve">        'n_estimators': [100, 200, 400],</w:t>
        <w:br/>
        <w:t xml:space="preserve">        'max_depth': [4, 6, 10, None],</w:t>
        <w:br/>
        <w:t xml:space="preserve">        'min_samples_split': [2, 5, 10],</w:t>
        <w:br/>
        <w:t xml:space="preserve">        'max_features': ['sqrt', 'log2'],</w:t>
        <w:br/>
        <w:t xml:space="preserve">    },</w:t>
        <w:br/>
        <w:t xml:space="preserve">    scoring='f1', cv=cv, n_jobs=-1,</w:t>
        <w:br/>
        <w:t>)</w:t>
        <w:br/>
        <w:t>grid.fit(X_train, y_train)</w:t>
      </w:r>
    </w:p>
    <w:p>
      <w:pPr>
        <w:spacing w:before="160" w:after="80" w:line="276" w:lineRule="auto"/>
      </w:pPr>
      <w:r>
        <w:rPr>
          <w:rFonts w:ascii="Calibri" w:hAnsi="Calibri" w:eastAsia="Calibri"/>
          <w:b w:val="0"/>
          <w:i/>
          <w:color w:val="555555"/>
          <w:sz w:val="20"/>
        </w:rPr>
        <w:t>Table 5. Winning Random Forest hyperparameters</w:t>
      </w:r>
    </w:p>
    <w:tbl>
      <w:tblPr>
        <w:tblW w:type="auto" w:w="0"/>
        <w:jc w:val="center"/>
        <w:tblLayout w:type="autofit"/>
        <w:tblLook w:firstColumn="1" w:firstRow="1" w:lastColumn="0" w:lastRow="0" w:noHBand="0" w:noVBand="1" w:val="04A0"/>
      </w:tblPr>
      <w:tblGrid>
        <w:gridCol w:w="4706"/>
        <w:gridCol w:w="4706"/>
      </w:tblGrid>
      <w:tr>
        <w:tc>
          <w:tcPr>
            <w:tcW w:type="dxa" w:w="4706"/>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Hyperparameter</w:t>
            </w:r>
          </w:p>
        </w:tc>
        <w:tc>
          <w:tcPr>
            <w:tcW w:type="dxa" w:w="4706"/>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Value chosen by GridSearchCV</w:t>
            </w:r>
          </w:p>
        </w:tc>
      </w:tr>
      <w:tr>
        <w:tc>
          <w:tcPr>
            <w:tcW w:type="dxa" w:w="4706"/>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n_estimators</w:t>
            </w:r>
          </w:p>
        </w:tc>
        <w:tc>
          <w:tcPr>
            <w:tcW w:type="dxa" w:w="4706"/>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400</w:t>
            </w:r>
          </w:p>
        </w:tc>
      </w:tr>
      <w:tr>
        <w:tc>
          <w:tcPr>
            <w:tcW w:type="dxa" w:w="4706"/>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max_depth</w:t>
            </w:r>
          </w:p>
        </w:tc>
        <w:tc>
          <w:tcPr>
            <w:tcW w:type="dxa" w:w="4706"/>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4</w:t>
            </w:r>
          </w:p>
        </w:tc>
      </w:tr>
      <w:tr>
        <w:tc>
          <w:tcPr>
            <w:tcW w:type="dxa" w:w="4706"/>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min_samples_split</w:t>
            </w:r>
          </w:p>
        </w:tc>
        <w:tc>
          <w:tcPr>
            <w:tcW w:type="dxa" w:w="4706"/>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2</w:t>
            </w:r>
          </w:p>
        </w:tc>
      </w:tr>
      <w:tr>
        <w:tc>
          <w:tcPr>
            <w:tcW w:type="dxa" w:w="4706"/>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max_features</w:t>
            </w:r>
          </w:p>
        </w:tc>
        <w:tc>
          <w:tcPr>
            <w:tcW w:type="dxa" w:w="4706"/>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sqrt</w:t>
            </w:r>
          </w:p>
        </w:tc>
      </w:tr>
      <w:tr>
        <w:tc>
          <w:tcPr>
            <w:tcW w:type="dxa" w:w="4706"/>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Best CV F1 (train folds)</w:t>
            </w:r>
          </w:p>
        </w:tc>
        <w:tc>
          <w:tcPr>
            <w:tcW w:type="dxa" w:w="4706"/>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53.8%</w:t>
            </w:r>
          </w:p>
        </w:tc>
      </w:tr>
    </w:tbl>
    <w:p/>
    <w:p>
      <w:pPr>
        <w:spacing w:before="120" w:after="40" w:line="276" w:lineRule="auto"/>
        <w:jc w:val="center"/>
      </w:pPr>
      <w:r>
        <w:drawing>
          <wp:inline xmlns:a="http://schemas.openxmlformats.org/drawingml/2006/main" xmlns:pic="http://schemas.openxmlformats.org/drawingml/2006/picture">
            <wp:extent cx="5669280" cy="3897630"/>
            <wp:docPr id="10" name="Picture 10"/>
            <wp:cNvGraphicFramePr>
              <a:graphicFrameLocks noChangeAspect="1"/>
            </wp:cNvGraphicFramePr>
            <a:graphic>
              <a:graphicData uri="http://schemas.openxmlformats.org/drawingml/2006/picture">
                <pic:pic>
                  <pic:nvPicPr>
                    <pic:cNvPr id="0" name="gridsearch_heatmap.png"/>
                    <pic:cNvPicPr/>
                  </pic:nvPicPr>
                  <pic:blipFill>
                    <a:blip r:embed="rId20"/>
                    <a:stretch>
                      <a:fillRect/>
                    </a:stretch>
                  </pic:blipFill>
                  <pic:spPr>
                    <a:xfrm>
                      <a:off x="0" y="0"/>
                      <a:ext cx="5669280" cy="3897630"/>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10. Mean CV F1 by n_estimators and max_depth, averaged over the remaining hyperparameters.</w:t>
      </w:r>
    </w:p>
    <w:p>
      <w:pPr>
        <w:spacing w:before="200" w:after="160" w:line="276" w:lineRule="auto"/>
      </w:pPr>
      <w:r>
        <w:rPr>
          <w:rFonts w:ascii="Calibri" w:hAnsi="Calibri" w:eastAsia="Calibri"/>
          <w:b/>
          <w:i w:val="0"/>
          <w:color w:val="1F4E79"/>
          <w:sz w:val="26"/>
        </w:rPr>
        <w:t>7.4 Hold-out test: default vs tuned</w:t>
      </w:r>
    </w:p>
    <w:p>
      <w:pPr>
        <w:spacing w:before="0" w:after="160" w:line="276" w:lineRule="auto"/>
        <w:jc w:val="both"/>
      </w:pPr>
      <w:r>
        <w:rPr>
          <w:rFonts w:ascii="Calibri" w:hAnsi="Calibri" w:eastAsia="Calibri"/>
          <w:b w:val="0"/>
          <w:i w:val="0"/>
          <w:color w:val="2D2D2D"/>
          <w:sz w:val="22"/>
        </w:rPr>
        <w:t>After the grid search, both the Week-2-style default forest and the tuned forest are scored once on the 20% hold-out set. This is the number that would be quoted as 'test performance' — it was not used to pick hyperparameters.</w:t>
      </w:r>
    </w:p>
    <w:p>
      <w:pPr>
        <w:spacing w:before="160" w:after="80" w:line="276" w:lineRule="auto"/>
      </w:pPr>
      <w:r>
        <w:rPr>
          <w:rFonts w:ascii="Calibri" w:hAnsi="Calibri" w:eastAsia="Calibri"/>
          <w:b w:val="0"/>
          <w:i/>
          <w:color w:val="555555"/>
          <w:sz w:val="20"/>
        </w:rPr>
        <w:t>Table 6. Hold-out test metrics before and after tuning</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Metric</w:t>
            </w:r>
          </w:p>
        </w:tc>
        <w:tc>
          <w:tcPr>
            <w:tcW w:type="dxa" w:w="3137"/>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Default RF</w:t>
            </w:r>
          </w:p>
        </w:tc>
        <w:tc>
          <w:tcPr>
            <w:tcW w:type="dxa" w:w="3137"/>
            <w:shd w:fill="1F4E79" w:val="clear"/>
            <w:tcBorders>
              <w:top w:val="single" w:sz="4" w:space="0" w:color="1F4E79"/>
              <w:left w:val="single" w:sz="4" w:space="0" w:color="1F4E79"/>
              <w:bottom w:val="single" w:sz="4" w:space="0" w:color="1F4E79"/>
              <w:right w:val="single" w:sz="4" w:space="0" w:color="1F4E79"/>
            </w:tcBorders>
          </w:tcPr>
          <w:p>
            <w:pPr>
              <w:jc w:val="center"/>
            </w:pPr>
            <w:r/>
            <w:r>
              <w:rPr>
                <w:rFonts w:ascii="Calibri" w:hAnsi="Calibri" w:eastAsia="Calibri"/>
                <w:b/>
                <w:i w:val="0"/>
                <w:color w:val="FFFFFF"/>
                <w:sz w:val="20"/>
              </w:rPr>
              <w:t>Tuned RF</w:t>
            </w:r>
          </w:p>
        </w:tc>
      </w:tr>
      <w:tr>
        <w:tc>
          <w:tcPr>
            <w:tcW w:type="dxa" w:w="3137"/>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Accuracy</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78.5%</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77.8%</w:t>
            </w:r>
          </w:p>
        </w:tc>
      </w:tr>
      <w:tr>
        <w:tc>
          <w:tcPr>
            <w:tcW w:type="dxa" w:w="3137"/>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Precision</w:t>
            </w:r>
          </w:p>
        </w:tc>
        <w:tc>
          <w:tcPr>
            <w:tcW w:type="dxa" w:w="3137"/>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69.2%</w:t>
            </w:r>
          </w:p>
        </w:tc>
        <w:tc>
          <w:tcPr>
            <w:tcW w:type="dxa" w:w="3137"/>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66.7%</w:t>
            </w:r>
          </w:p>
        </w:tc>
      </w:tr>
      <w:tr>
        <w:tc>
          <w:tcPr>
            <w:tcW w:type="dxa" w:w="3137"/>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Recall</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43.9%</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43.9%</w:t>
            </w:r>
          </w:p>
        </w:tc>
      </w:tr>
      <w:tr>
        <w:tc>
          <w:tcPr>
            <w:tcW w:type="dxa" w:w="3137"/>
            <w:shd w:fill="EAF1F8" w:val="clear"/>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F1-score</w:t>
            </w:r>
          </w:p>
        </w:tc>
        <w:tc>
          <w:tcPr>
            <w:tcW w:type="dxa" w:w="3137"/>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53.7%</w:t>
            </w:r>
          </w:p>
        </w:tc>
        <w:tc>
          <w:tcPr>
            <w:tcW w:type="dxa" w:w="3137"/>
            <w:shd w:fill="EAF1F8" w:val="clear"/>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52.9%</w:t>
            </w:r>
          </w:p>
        </w:tc>
      </w:tr>
      <w:tr>
        <w:tc>
          <w:tcPr>
            <w:tcW w:type="dxa" w:w="3137"/>
            <w:tcBorders>
              <w:top w:val="single" w:sz="4" w:space="0" w:color="D0D7DE"/>
              <w:left w:val="single" w:sz="4" w:space="0" w:color="D0D7DE"/>
              <w:bottom w:val="single" w:sz="4" w:space="0" w:color="D0D7DE"/>
              <w:right w:val="single" w:sz="4" w:space="0" w:color="D0D7DE"/>
            </w:tcBorders>
          </w:tcPr>
          <w:p>
            <w:pPr>
              <w:jc w:val="left"/>
            </w:pPr>
            <w:r/>
            <w:r>
              <w:rPr>
                <w:rFonts w:ascii="Calibri" w:hAnsi="Calibri" w:eastAsia="Calibri"/>
                <w:b w:val="0"/>
                <w:i w:val="0"/>
                <w:color w:val="2D2D2D"/>
                <w:sz w:val="20"/>
              </w:rPr>
              <w:t>ROC-AUC</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0.812</w:t>
            </w:r>
          </w:p>
        </w:tc>
        <w:tc>
          <w:tcPr>
            <w:tcW w:type="dxa" w:w="3137"/>
            <w:tcBorders>
              <w:top w:val="single" w:sz="4" w:space="0" w:color="D0D7DE"/>
              <w:left w:val="single" w:sz="4" w:space="0" w:color="D0D7DE"/>
              <w:bottom w:val="single" w:sz="4" w:space="0" w:color="D0D7DE"/>
              <w:right w:val="single" w:sz="4" w:space="0" w:color="D0D7DE"/>
            </w:tcBorders>
          </w:tcPr>
          <w:p>
            <w:pPr>
              <w:jc w:val="center"/>
            </w:pPr>
            <w:r/>
            <w:r>
              <w:rPr>
                <w:rFonts w:ascii="Calibri" w:hAnsi="Calibri" w:eastAsia="Calibri"/>
                <w:b w:val="0"/>
                <w:i w:val="0"/>
                <w:color w:val="2D2D2D"/>
                <w:sz w:val="20"/>
              </w:rPr>
              <w:t>0.816</w:t>
            </w:r>
          </w:p>
        </w:tc>
      </w:tr>
    </w:tbl>
    <w:p/>
    <w:p>
      <w:pPr>
        <w:spacing w:before="120" w:after="40" w:line="276" w:lineRule="auto"/>
        <w:jc w:val="center"/>
      </w:pPr>
      <w:r>
        <w:drawing>
          <wp:inline xmlns:a="http://schemas.openxmlformats.org/drawingml/2006/main" xmlns:pic="http://schemas.openxmlformats.org/drawingml/2006/picture">
            <wp:extent cx="5669280" cy="2505031"/>
            <wp:docPr id="11" name="Picture 11"/>
            <wp:cNvGraphicFramePr>
              <a:graphicFrameLocks noChangeAspect="1"/>
            </wp:cNvGraphicFramePr>
            <a:graphic>
              <a:graphicData uri="http://schemas.openxmlformats.org/drawingml/2006/picture">
                <pic:pic>
                  <pic:nvPicPr>
                    <pic:cNvPr id="0" name="confusion_matrices.png"/>
                    <pic:cNvPicPr/>
                  </pic:nvPicPr>
                  <pic:blipFill>
                    <a:blip r:embed="rId21"/>
                    <a:stretch>
                      <a:fillRect/>
                    </a:stretch>
                  </pic:blipFill>
                  <pic:spPr>
                    <a:xfrm>
                      <a:off x="0" y="0"/>
                      <a:ext cx="5669280" cy="2505031"/>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11. Confusion matrices on the hold-out set, default vs tuned Random Forest.</w:t>
      </w:r>
    </w:p>
    <w:p>
      <w:pPr>
        <w:spacing w:before="120" w:after="40" w:line="276" w:lineRule="auto"/>
        <w:jc w:val="center"/>
      </w:pPr>
      <w:r>
        <w:drawing>
          <wp:inline xmlns:a="http://schemas.openxmlformats.org/drawingml/2006/main" xmlns:pic="http://schemas.openxmlformats.org/drawingml/2006/picture">
            <wp:extent cx="5669280" cy="4572000"/>
            <wp:docPr id="12" name="Picture 12"/>
            <wp:cNvGraphicFramePr>
              <a:graphicFrameLocks noChangeAspect="1"/>
            </wp:cNvGraphicFramePr>
            <a:graphic>
              <a:graphicData uri="http://schemas.openxmlformats.org/drawingml/2006/picture">
                <pic:pic>
                  <pic:nvPicPr>
                    <pic:cNvPr id="0" name="roc_curves.png"/>
                    <pic:cNvPicPr/>
                  </pic:nvPicPr>
                  <pic:blipFill>
                    <a:blip r:embed="rId22"/>
                    <a:stretch>
                      <a:fillRect/>
                    </a:stretch>
                  </pic:blipFill>
                  <pic:spPr>
                    <a:xfrm>
                      <a:off x="0" y="0"/>
                      <a:ext cx="5669280" cy="4572000"/>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12. ROC curves on the hold-out set. The dashed line is random ranking.</w:t>
      </w:r>
    </w:p>
    <w:p>
      <w:pPr>
        <w:spacing w:before="0" w:after="160" w:line="276" w:lineRule="auto"/>
        <w:jc w:val="both"/>
      </w:pPr>
      <w:r>
        <w:rPr>
          <w:rFonts w:ascii="Calibri" w:hAnsi="Calibri" w:eastAsia="Calibri"/>
          <w:b w:val="0"/>
          <w:i w:val="0"/>
          <w:color w:val="2D2D2D"/>
          <w:sz w:val="22"/>
        </w:rPr>
        <w:t>The confusion matrices make the precision/recall trade-off concrete: the top-right cell is employees the model alarmed about who stayed (false positives); the bottom-left cell is leavers the model missed (false negatives). Tuning for F1 typically moves those two cells together rather than inflating accuracy. ROC-AUC, being threshold-independent, shows whether the underlying ranking of employees by leaving-risk improved, even if the 0.5 cutoff is not the operating point HR would actually use. In production one would pick a threshold from the ROC (or a precision-recall curve) against the relative cost of a missed leaver versus an unnecessary retention conversation.</w:t>
      </w:r>
    </w:p>
    <w:p>
      <w:pPr>
        <w:spacing w:before="200" w:after="160" w:line="276" w:lineRule="auto"/>
      </w:pPr>
      <w:r>
        <w:rPr>
          <w:rFonts w:ascii="Calibri" w:hAnsi="Calibri" w:eastAsia="Calibri"/>
          <w:b/>
          <w:i w:val="0"/>
          <w:color w:val="1F4E79"/>
          <w:sz w:val="26"/>
        </w:rPr>
        <w:t>7.5 What the model relies on</w:t>
      </w:r>
    </w:p>
    <w:p>
      <w:pPr>
        <w:spacing w:before="0" w:after="160" w:line="276" w:lineRule="auto"/>
        <w:jc w:val="both"/>
      </w:pPr>
      <w:r>
        <w:rPr>
          <w:rFonts w:ascii="Calibri" w:hAnsi="Calibri" w:eastAsia="Calibri"/>
          <w:b w:val="0"/>
          <w:i w:val="0"/>
          <w:color w:val="2D2D2D"/>
          <w:sz w:val="22"/>
        </w:rPr>
        <w:t>The tuned forest's feature importances concentrate on the same variables that generated attrition — performance, salary and tenure — which is the same sanity check applied to Linear Regression coefficients in Week 2. When the important features match the domain story, it is independent evidence the model learned signal rather than an artefact of the split.</w:t>
      </w:r>
    </w:p>
    <w:p>
      <w:pPr>
        <w:spacing w:before="120" w:after="40" w:line="276" w:lineRule="auto"/>
        <w:jc w:val="center"/>
      </w:pPr>
      <w:r>
        <w:drawing>
          <wp:inline xmlns:a="http://schemas.openxmlformats.org/drawingml/2006/main" xmlns:pic="http://schemas.openxmlformats.org/drawingml/2006/picture">
            <wp:extent cx="5669280" cy="3837666"/>
            <wp:docPr id="13" name="Picture 13"/>
            <wp:cNvGraphicFramePr>
              <a:graphicFrameLocks noChangeAspect="1"/>
            </wp:cNvGraphicFramePr>
            <a:graphic>
              <a:graphicData uri="http://schemas.openxmlformats.org/drawingml/2006/picture">
                <pic:pic>
                  <pic:nvPicPr>
                    <pic:cNvPr id="0" name="feature_importance.png"/>
                    <pic:cNvPicPr/>
                  </pic:nvPicPr>
                  <pic:blipFill>
                    <a:blip r:embed="rId23"/>
                    <a:stretch>
                      <a:fillRect/>
                    </a:stretch>
                  </pic:blipFill>
                  <pic:spPr>
                    <a:xfrm>
                      <a:off x="0" y="0"/>
                      <a:ext cx="5669280" cy="3837666"/>
                    </a:xfrm>
                    <a:prstGeom prst="rect"/>
                  </pic:spPr>
                </pic:pic>
              </a:graphicData>
            </a:graphic>
          </wp:inline>
        </w:drawing>
      </w:r>
    </w:p>
    <w:p>
      <w:pPr>
        <w:spacing w:before="0" w:after="200" w:line="276" w:lineRule="auto"/>
        <w:jc w:val="center"/>
      </w:pPr>
      <w:r>
        <w:rPr>
          <w:rFonts w:ascii="Calibri" w:hAnsi="Calibri" w:eastAsia="Calibri"/>
          <w:b w:val="0"/>
          <w:i/>
          <w:color w:val="555555"/>
          <w:sz w:val="20"/>
        </w:rPr>
        <w:t>Figure 13. Largest feature importances from the tuned Random Forest.</w:t>
      </w:r>
    </w:p>
    <w:p>
      <w:pPr>
        <w:pBdr>
          <w:bottom w:val="single" w:sz="12" w:space="1" w:color="1F4E79"/>
        </w:pBdr>
        <w:spacing w:before="280" w:after="160" w:line="276" w:lineRule="auto"/>
      </w:pPr>
      <w:r>
        <w:rPr>
          <w:rFonts w:ascii="Calibri" w:hAnsi="Calibri" w:eastAsia="Calibri"/>
          <w:b/>
          <w:i w:val="0"/>
          <w:color w:val="1F4E79"/>
          <w:sz w:val="32"/>
        </w:rPr>
        <w:t>8. Findings</w:t>
      </w:r>
    </w:p>
    <w:p>
      <w:pPr>
        <w:pStyle w:val="ListBullet"/>
        <w:spacing w:before="0" w:after="80" w:line="276" w:lineRule="auto"/>
      </w:pPr>
      <w:r>
        <w:rPr>
          <w:rFonts w:ascii="Calibri" w:hAnsi="Calibri" w:eastAsia="Calibri"/>
          <w:b w:val="0"/>
          <w:i w:val="0"/>
          <w:color w:val="2D2D2D"/>
          <w:sz w:val="22"/>
        </w:rPr>
        <w:t>K-Means and Ward hierarchical clustering both recover three career-stage groups on standardised age, tenure, salary and performance. K-Means silhouette at k=3 is 0.472; hierarchical is 0.453.</w:t>
      </w:r>
    </w:p>
    <w:p>
      <w:pPr>
        <w:pStyle w:val="ListBullet"/>
        <w:spacing w:before="0" w:after="80" w:line="276" w:lineRule="auto"/>
      </w:pPr>
      <w:r>
        <w:rPr>
          <w:rFonts w:ascii="Calibri" w:hAnsi="Calibri" w:eastAsia="Calibri"/>
          <w:b w:val="0"/>
          <w:i w:val="0"/>
          <w:color w:val="2D2D2D"/>
          <w:sz w:val="22"/>
        </w:rPr>
        <w:t>The elbow and silhouette diagnostics agreed on k = 3, matching the number of segments built into the data. Diagnostics and domain reading should be used together; silhouette alone can prefer a k that does not split the data in a way a business can act on.</w:t>
      </w:r>
    </w:p>
    <w:p>
      <w:pPr>
        <w:pStyle w:val="ListBullet"/>
        <w:spacing w:before="0" w:after="80" w:line="276" w:lineRule="auto"/>
      </w:pPr>
      <w:r>
        <w:rPr>
          <w:rFonts w:ascii="Calibri" w:hAnsi="Calibri" w:eastAsia="Calibri"/>
          <w:b w:val="0"/>
          <w:i w:val="0"/>
          <w:color w:val="2D2D2D"/>
          <w:sz w:val="22"/>
        </w:rPr>
        <w:t>PCA shows that two components capture 98.3% of variance, and that the clusters separate along a career-stage axis. PCA was used to look at the clusters, not to discard features before clustering.</w:t>
      </w:r>
    </w:p>
    <w:p>
      <w:pPr>
        <w:pStyle w:val="ListBullet"/>
        <w:spacing w:before="0" w:after="80" w:line="276" w:lineRule="auto"/>
      </w:pPr>
      <w:r>
        <w:rPr>
          <w:rFonts w:ascii="Calibri" w:hAnsi="Calibri" w:eastAsia="Calibri"/>
          <w:b w:val="0"/>
          <w:i w:val="0"/>
          <w:color w:val="2D2D2D"/>
          <w:sz w:val="22"/>
        </w:rPr>
        <w:t>Accuracy on an imbalanced attrition label is not a sufficient metric. Precision, recall, F1 and ROC-AUC, plus the confusion matrix, are what make the cost of a wrong prediction visible.</w:t>
      </w:r>
    </w:p>
    <w:p>
      <w:pPr>
        <w:pStyle w:val="ListBullet"/>
        <w:spacing w:before="0" w:after="80" w:line="276" w:lineRule="auto"/>
      </w:pPr>
      <w:r>
        <w:rPr>
          <w:rFonts w:ascii="Calibri" w:hAnsi="Calibri" w:eastAsia="Calibri"/>
          <w:b w:val="0"/>
          <w:i w:val="0"/>
          <w:color w:val="2D2D2D"/>
          <w:sz w:val="22"/>
        </w:rPr>
        <w:t>Stratified 5-fold CV, with scaling inside the pipeline, is a more honest performance estimate than a single split. GridSearchCV then picks hyperparameters on the training folds only, keeping the hold-out set clean.</w:t>
      </w:r>
    </w:p>
    <w:p>
      <w:pPr>
        <w:pStyle w:val="ListBullet"/>
        <w:spacing w:before="0" w:after="80" w:line="276" w:lineRule="auto"/>
      </w:pPr>
      <w:r>
        <w:rPr>
          <w:rFonts w:ascii="Calibri" w:hAnsi="Calibri" w:eastAsia="Calibri"/>
          <w:b w:val="0"/>
          <w:i w:val="0"/>
          <w:color w:val="2D2D2D"/>
          <w:sz w:val="22"/>
        </w:rPr>
        <w:t>The tuned Random Forest hold-out scores are F1 52.9% and ROC-AUC 0.816, versus F1 53.7% and ROC-AUC 0.812 for the untuned forest. Tuning is not guaranteed to move every metric up, but it replaces guesswork with a search that can be reproduced.</w:t>
      </w:r>
    </w:p>
    <w:p>
      <w:pPr>
        <w:pBdr>
          <w:bottom w:val="single" w:sz="12" w:space="1" w:color="1F4E79"/>
        </w:pBdr>
        <w:spacing w:before="280" w:after="160" w:line="276" w:lineRule="auto"/>
      </w:pPr>
      <w:r>
        <w:rPr>
          <w:rFonts w:ascii="Calibri" w:hAnsi="Calibri" w:eastAsia="Calibri"/>
          <w:b/>
          <w:i w:val="0"/>
          <w:color w:val="1F4E79"/>
          <w:sz w:val="32"/>
        </w:rPr>
        <w:t>9. Conclusion</w:t>
      </w:r>
    </w:p>
    <w:p>
      <w:pPr>
        <w:spacing w:before="0" w:after="160" w:line="276" w:lineRule="auto"/>
        <w:jc w:val="both"/>
      </w:pPr>
      <w:r>
        <w:rPr>
          <w:rFonts w:ascii="Calibri" w:hAnsi="Calibri" w:eastAsia="Calibri"/>
          <w:b w:val="0"/>
          <w:i w:val="0"/>
          <w:color w:val="2D2D2D"/>
          <w:sz w:val="22"/>
        </w:rPr>
        <w:t>Week 1 put the data into a trainable shape and Week 2 fitted several supervised models to it. This week added the two practices that turn those models into something you can defend: unsupervised structure discovery, and evaluation that does not collapse to a single accuracy number on a single split. K-Means and hierarchical clustering, read through PCA and cluster profiles, produced the same three career-stage personas that were built into the sample. Cross-validation, the confusion-matrix metric suite, ROC-AUC and GridSearchCV then showed how to compare classifiers — and how to improve one — without leaking the test set into the decision. All figures and tables in this report were produced by the accompanying Python script.</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Vutukuri Yaswanth Ganesh Kumar  ·  Unsupervised Learning &amp; Model Evaluation  ·  Page </w:t>
    </w:r>
    <w:r>
      <w:fldChar w:fldCharType="begin"/>
      <w:instrText xml:space="preserve"> PAGE </w:instrText>
      <w:fldChar w:fldCharType="end"/>
    </w:r>
    <w:r>
      <w:rPr>
        <w:rFonts w:ascii="Calibri" w:hAnsi="Calibri" w:eastAsia="Calibri"/>
        <w:b w:val="0"/>
        <w:i w:val="0"/>
        <w:color w:val="555555"/>
        <w:sz w:val="16"/>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color w:val="2E75B6"/>
        <w:sz w:val="18"/>
      </w:rPr>
      <w:t>Week 3 Task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2D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