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left"/>
      </w:pPr>
      <w:r>
        <w:rPr>
          <w:rFonts w:ascii="Calibri" w:hAnsi="Calibri" w:eastAsia="Calibri"/>
          <w:b/>
          <w:i w:val="0"/>
          <w:color w:val="1F4E79"/>
          <w:sz w:val="52"/>
        </w:rPr>
        <w:t>AI Project Deployment &amp; Capstone</w:t>
      </w:r>
    </w:p>
    <w:p>
      <w:pPr>
        <w:pBdr>
          <w:bottom w:val="single" w:sz="12" w:space="1" w:color="1F4E79"/>
        </w:pBdr>
        <w:spacing w:before="0" w:after="320" w:line="276" w:lineRule="auto"/>
      </w:pPr>
      <w:r>
        <w:rPr>
          <w:rFonts w:ascii="Calibri" w:hAnsi="Calibri" w:eastAsia="Calibri"/>
          <w:b w:val="0"/>
          <w:i/>
          <w:color w:val="2E75B6"/>
          <w:sz w:val="28"/>
        </w:rPr>
        <w:t>Week 4 Task Report</w:t>
      </w:r>
    </w:p>
    <w:tbl>
      <w:tblPr>
        <w:tblW w:type="auto" w:w="0"/>
        <w:tblLayout w:type="autofit"/>
        <w:tblLook w:firstColumn="1" w:firstRow="1" w:lastColumn="0" w:lastRow="0" w:noHBand="0" w:noVBand="1" w:val="04A0"/>
      </w:tblPr>
      <w:tblGrid>
        <w:gridCol w:w="4706"/>
        <w:gridCol w:w="4706"/>
      </w:tblGrid>
      <w:tr>
        <w:tc>
          <w:tcPr>
            <w:tcW w:type="dxa" w:w="4706"/>
            <w:shd w:fill="EAF1F8" w:val="clear"/>
            <w:tcBorders>
              <w:top w:val="single" w:sz="4" w:space="0" w:color="D0D7DE"/>
              <w:left w:val="single" w:sz="4" w:space="0" w:color="D0D7DE"/>
              <w:bottom w:val="single" w:sz="4" w:space="0" w:color="D0D7DE"/>
              <w:right w:val="single" w:sz="4" w:space="0" w:color="D0D7DE"/>
            </w:tcBorders>
          </w:tcPr>
          <w:p>
            <w:r/>
            <w:r>
              <w:rPr>
                <w:rFonts w:ascii="Calibri" w:hAnsi="Calibri" w:eastAsia="Calibri"/>
                <w:b/>
                <w:i w:val="0"/>
                <w:color w:val="1F4E79"/>
                <w:sz w:val="22"/>
              </w:rPr>
              <w:t>Submitted by</w:t>
            </w:r>
          </w:p>
        </w:tc>
        <w:tc>
          <w:tcPr>
            <w:tcW w:type="dxa" w:w="470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i w:val="0"/>
                <w:color w:val="2D2D2D"/>
                <w:sz w:val="22"/>
              </w:rPr>
              <w:t>Vutukuri Yaswanth Ganesh Kumar</w:t>
            </w:r>
          </w:p>
        </w:tc>
      </w:tr>
      <w:tr>
        <w:tc>
          <w:tcPr>
            <w:tcW w:type="dxa" w:w="4706"/>
            <w:shd w:fill="EAF1F8" w:val="clear"/>
            <w:tcBorders>
              <w:top w:val="single" w:sz="4" w:space="0" w:color="D0D7DE"/>
              <w:left w:val="single" w:sz="4" w:space="0" w:color="D0D7DE"/>
              <w:bottom w:val="single" w:sz="4" w:space="0" w:color="D0D7DE"/>
              <w:right w:val="single" w:sz="4" w:space="0" w:color="D0D7DE"/>
            </w:tcBorders>
          </w:tcPr>
          <w:p>
            <w:r/>
            <w:r>
              <w:rPr>
                <w:rFonts w:ascii="Calibri" w:hAnsi="Calibri" w:eastAsia="Calibri"/>
                <w:b/>
                <w:i w:val="0"/>
                <w:color w:val="1F4E79"/>
                <w:sz w:val="22"/>
              </w:rPr>
              <w:t>Date</w:t>
            </w:r>
          </w:p>
        </w:tc>
        <w:tc>
          <w:tcPr>
            <w:tcW w:type="dxa" w:w="470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i w:val="0"/>
                <w:color w:val="2D2D2D"/>
                <w:sz w:val="22"/>
              </w:rPr>
              <w:t>11 September 2026</w:t>
            </w:r>
          </w:p>
        </w:tc>
      </w:tr>
      <w:tr>
        <w:tc>
          <w:tcPr>
            <w:tcW w:type="dxa" w:w="4706"/>
            <w:shd w:fill="EAF1F8" w:val="clear"/>
            <w:tcBorders>
              <w:top w:val="single" w:sz="4" w:space="0" w:color="D0D7DE"/>
              <w:left w:val="single" w:sz="4" w:space="0" w:color="D0D7DE"/>
              <w:bottom w:val="single" w:sz="4" w:space="0" w:color="D0D7DE"/>
              <w:right w:val="single" w:sz="4" w:space="0" w:color="D0D7DE"/>
            </w:tcBorders>
          </w:tcPr>
          <w:p>
            <w:r/>
            <w:r>
              <w:rPr>
                <w:rFonts w:ascii="Calibri" w:hAnsi="Calibri" w:eastAsia="Calibri"/>
                <w:b/>
                <w:i w:val="0"/>
                <w:color w:val="1F4E79"/>
                <w:sz w:val="22"/>
              </w:rPr>
              <w:t>Task</w:t>
            </w:r>
          </w:p>
        </w:tc>
        <w:tc>
          <w:tcPr>
            <w:tcW w:type="dxa" w:w="470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i w:val="0"/>
                <w:color w:val="2D2D2D"/>
                <w:sz w:val="22"/>
              </w:rPr>
              <w:t>Week 4 — AI Project Deployment &amp; Capstone</w:t>
            </w:r>
          </w:p>
        </w:tc>
      </w:tr>
      <w:tr>
        <w:tc>
          <w:tcPr>
            <w:tcW w:type="dxa" w:w="4706"/>
            <w:shd w:fill="EAF1F8" w:val="clear"/>
            <w:tcBorders>
              <w:top w:val="single" w:sz="4" w:space="0" w:color="D0D7DE"/>
              <w:left w:val="single" w:sz="4" w:space="0" w:color="D0D7DE"/>
              <w:bottom w:val="single" w:sz="4" w:space="0" w:color="D0D7DE"/>
              <w:right w:val="single" w:sz="4" w:space="0" w:color="D0D7DE"/>
            </w:tcBorders>
          </w:tcPr>
          <w:p>
            <w:r/>
            <w:r>
              <w:rPr>
                <w:rFonts w:ascii="Calibri" w:hAnsi="Calibri" w:eastAsia="Calibri"/>
                <w:b/>
                <w:i w:val="0"/>
                <w:color w:val="1F4E79"/>
                <w:sz w:val="22"/>
              </w:rPr>
              <w:t>Tools Used</w:t>
            </w:r>
          </w:p>
        </w:tc>
        <w:tc>
          <w:tcPr>
            <w:tcW w:type="dxa" w:w="470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i w:val="0"/>
                <w:color w:val="2D2D2D"/>
                <w:sz w:val="22"/>
              </w:rPr>
              <w:t>Python, Pandas, scikit-learn, Joblib, Pickle, FastAPI, Uvicorn</w:t>
            </w:r>
          </w:p>
        </w:tc>
      </w:tr>
    </w:tbl>
    <w:p/>
    <w:p>
      <w:pPr>
        <w:pBdr>
          <w:bottom w:val="single" w:sz="12" w:space="1" w:color="1F4E79"/>
        </w:pBdr>
        <w:spacing w:before="280" w:after="160" w:line="276" w:lineRule="auto"/>
      </w:pPr>
      <w:r>
        <w:rPr>
          <w:rFonts w:ascii="Calibri" w:hAnsi="Calibri" w:eastAsia="Calibri"/>
          <w:b/>
          <w:i w:val="0"/>
          <w:color w:val="1F4E79"/>
          <w:sz w:val="32"/>
        </w:rPr>
        <w:t>1. Objective</w:t>
      </w:r>
    </w:p>
    <w:p>
      <w:pPr>
        <w:spacing w:before="0" w:after="160" w:line="276" w:lineRule="auto"/>
        <w:jc w:val="both"/>
      </w:pPr>
      <w:r>
        <w:rPr>
          <w:rFonts w:ascii="Calibri" w:hAnsi="Calibri" w:eastAsia="Calibri"/>
          <w:b w:val="0"/>
          <w:i w:val="0"/>
          <w:color w:val="2D2D2D"/>
          <w:sz w:val="22"/>
        </w:rPr>
        <w:t>Week 4 closes the internship by turning the attrition model developed across Weeks 2 and 3 into a complete, deployable application. The deliverable is not a notebook: it is a trained pipeline, written to disk with both Joblib and Pickle, served behind a FastAPI prediction endpoint, and wrapped in a small web UI so a non-technical HR user can score an employee without writing Python. This report documents data preprocessing, model training and testing, serialisation, the API contract, and how to run the service.</w:t>
      </w:r>
    </w:p>
    <w:p>
      <w:pPr>
        <w:pBdr>
          <w:bottom w:val="single" w:sz="12" w:space="1" w:color="1F4E79"/>
        </w:pBdr>
        <w:spacing w:before="280" w:after="160" w:line="276" w:lineRule="auto"/>
      </w:pPr>
      <w:r>
        <w:rPr>
          <w:rFonts w:ascii="Calibri" w:hAnsi="Calibri" w:eastAsia="Calibri"/>
          <w:b/>
          <w:i w:val="0"/>
          <w:color w:val="1F4E79"/>
          <w:sz w:val="32"/>
        </w:rPr>
        <w:t>2. Project architecture</w:t>
      </w:r>
    </w:p>
    <w:p>
      <w:pPr>
        <w:spacing w:before="0" w:after="160" w:line="276" w:lineRule="auto"/>
        <w:jc w:val="both"/>
      </w:pPr>
      <w:r>
        <w:rPr>
          <w:rFonts w:ascii="Calibri" w:hAnsi="Calibri" w:eastAsia="Calibri"/>
          <w:b w:val="0"/>
          <w:i w:val="0"/>
          <w:color w:val="2D2D2D"/>
          <w:sz w:val="22"/>
        </w:rPr>
        <w:t>Everything lives under week4-ai-project-deployment/. train_model.py builds the dataset, fits a scikit-learn Pipeline (preprocessing + Random Forest), writes the artefacts, and generates the evaluation charts used here. app.py is the FastAPI service: it loads the Joblib file once at startup and exposes GET / (the UI), GET /health, GET /metadata and POST /predict. Uvicorn hosts the app on 0.0.0.0 so it can be reached from outside the process that started it.</w:t>
      </w:r>
    </w:p>
    <w:p>
      <w:pPr>
        <w:spacing w:before="120" w:after="40" w:line="276" w:lineRule="auto"/>
        <w:jc w:val="center"/>
      </w:pPr>
      <w:r>
        <w:drawing>
          <wp:inline xmlns:a="http://schemas.openxmlformats.org/drawingml/2006/main" xmlns:pic="http://schemas.openxmlformats.org/drawingml/2006/picture">
            <wp:extent cx="5852160" cy="1835972"/>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52160" cy="1835972"/>
                    </a:xfrm>
                    <a:prstGeom prst="rect"/>
                  </pic:spPr>
                </pic:pic>
              </a:graphicData>
            </a:graphic>
          </wp:inline>
        </w:drawing>
      </w:r>
    </w:p>
    <w:p>
      <w:pPr>
        <w:spacing w:before="0" w:after="200" w:line="276" w:lineRule="auto"/>
        <w:jc w:val="center"/>
      </w:pPr>
      <w:r>
        <w:rPr>
          <w:rFonts w:ascii="Calibri" w:hAnsi="Calibri" w:eastAsia="Calibri"/>
          <w:b w:val="0"/>
          <w:i/>
          <w:color w:val="555555"/>
          <w:sz w:val="20"/>
        </w:rPr>
        <w:t>Figure 1. Pipeline from raw CSV through a serialised model to the FastAPI UI and JSON API.</w:t>
      </w:r>
    </w:p>
    <w:p>
      <w:pPr>
        <w:pBdr>
          <w:bottom w:val="single" w:sz="12" w:space="1" w:color="1F4E79"/>
        </w:pBdr>
        <w:spacing w:before="280" w:after="160" w:line="276" w:lineRule="auto"/>
      </w:pPr>
      <w:r>
        <w:rPr>
          <w:rFonts w:ascii="Calibri" w:hAnsi="Calibri" w:eastAsia="Calibri"/>
          <w:b/>
          <w:i w:val="0"/>
          <w:color w:val="1F4E79"/>
          <w:sz w:val="32"/>
        </w:rPr>
        <w:t>3. Data preprocessing</w:t>
      </w:r>
    </w:p>
    <w:p>
      <w:pPr>
        <w:spacing w:before="0" w:after="160" w:line="276" w:lineRule="auto"/>
        <w:jc w:val="both"/>
      </w:pPr>
      <w:r>
        <w:rPr>
          <w:rFonts w:ascii="Calibri" w:hAnsi="Calibri" w:eastAsia="Calibri"/>
          <w:b w:val="0"/>
          <w:i w:val="0"/>
          <w:color w:val="2D2D2D"/>
          <w:sz w:val="22"/>
        </w:rPr>
        <w:t>The training file contains 800 synthetic employees with the same schema used all internship: age, gender, department, city, years of experience, monthly salary, performance score, and attrition. 195 employees left (24.4%), so the label is imbalanced and F1 / ROC-AUC remain the metrics that matter, as argued in Week 3. Attrition is generated from performance, tenure and pay plus noise, so a tree ensemble has a genuine pattern to recover.</w:t>
      </w:r>
    </w:p>
    <w:p>
      <w:pPr>
        <w:spacing w:before="0" w:after="160" w:line="276" w:lineRule="auto"/>
        <w:jc w:val="both"/>
      </w:pPr>
      <w:r>
        <w:rPr>
          <w:rFonts w:ascii="Calibri" w:hAnsi="Calibri" w:eastAsia="Calibri"/>
          <w:b w:val="0"/>
          <w:i w:val="0"/>
          <w:color w:val="2D2D2D"/>
          <w:sz w:val="22"/>
        </w:rPr>
        <w:t>Preprocessing is not applied as a one-off transformation of a CSV. It is a ColumnTransformer inside the Pipeline, so the same scaling and encoding used at train time is applied, with the same statistics, to every API request. Numeric columns are standardised; categorical columns are one-hot encoded with handle_unknown='ignore' so a new city name does not crash the service. The 80/20 split is stratified. Scaling statistics are learned from the training fold of GridSearchCV only.</w:t>
      </w:r>
    </w:p>
    <w:p>
      <w:pPr>
        <w:spacing w:before="80" w:after="160" w:line="259" w:lineRule="auto"/>
        <w:shd w:fill="F4F6F8" w:val="clear"/>
      </w:pPr>
      <w:r>
        <w:rPr>
          <w:rFonts w:ascii="Consolas" w:hAnsi="Consolas" w:eastAsia="Consolas"/>
          <w:b w:val="0"/>
          <w:i w:val="0"/>
          <w:color w:val="1E1E1E"/>
          <w:sz w:val="18"/>
        </w:rPr>
        <w:t>numeric = ['age', 'years_experience', 'monthly_salary', 'performance_score']</w:t>
        <w:br/>
        <w:t>categorical = ['gender', 'department', 'city']</w:t>
        <w:br/>
        <w:br/>
        <w:t>preprocess = ColumnTransformer([</w:t>
        <w:br/>
        <w:t xml:space="preserve">    ('num', StandardScaler(), numeric),</w:t>
        <w:br/>
        <w:t xml:space="preserve">    ('cat', OneHotEncoder(handle_unknown='ignore'), categorical),</w:t>
        <w:br/>
        <w:t>])</w:t>
        <w:br/>
        <w:t>pipe = Pipeline([</w:t>
        <w:br/>
        <w:t xml:space="preserve">    ('preprocess', preprocess),</w:t>
        <w:br/>
        <w:t xml:space="preserve">    ('clf', RandomForestClassifier(random_state=42)),</w:t>
        <w:br/>
        <w:t>])</w:t>
      </w:r>
    </w:p>
    <w:p>
      <w:pPr>
        <w:spacing w:before="160" w:after="80" w:line="276" w:lineRule="auto"/>
      </w:pPr>
      <w:r>
        <w:rPr>
          <w:rFonts w:ascii="Calibri" w:hAnsi="Calibri" w:eastAsia="Calibri"/>
          <w:b w:val="0"/>
          <w:i/>
          <w:color w:val="555555"/>
          <w:sz w:val="20"/>
        </w:rPr>
        <w:t>Table 1. Data splits</w:t>
      </w:r>
    </w:p>
    <w:tbl>
      <w:tblPr>
        <w:tblW w:type="auto" w:w="0"/>
        <w:jc w:val="center"/>
        <w:tblLayout w:type="autofit"/>
        <w:tblLook w:firstColumn="1" w:firstRow="1" w:lastColumn="0" w:lastRow="0" w:noHBand="0" w:noVBand="1" w:val="04A0"/>
      </w:tblPr>
      <w:tblGrid>
        <w:gridCol w:w="3137"/>
        <w:gridCol w:w="3137"/>
        <w:gridCol w:w="3137"/>
      </w:tblGrid>
      <w:tr>
        <w:tc>
          <w:tcPr>
            <w:tcW w:type="dxa" w:w="3137"/>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Calibri" w:hAnsi="Calibri" w:eastAsia="Calibri"/>
                <w:b/>
                <w:i w:val="0"/>
                <w:color w:val="FFFFFF"/>
                <w:sz w:val="20"/>
              </w:rPr>
              <w:t>Split</w:t>
            </w:r>
          </w:p>
        </w:tc>
        <w:tc>
          <w:tcPr>
            <w:tcW w:type="dxa" w:w="3137"/>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Calibri" w:hAnsi="Calibri" w:eastAsia="Calibri"/>
                <w:b/>
                <w:i w:val="0"/>
                <w:color w:val="FFFFFF"/>
                <w:sz w:val="20"/>
              </w:rPr>
              <w:t>Rows</w:t>
            </w:r>
          </w:p>
        </w:tc>
        <w:tc>
          <w:tcPr>
            <w:tcW w:type="dxa" w:w="3137"/>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Calibri" w:hAnsi="Calibri" w:eastAsia="Calibri"/>
                <w:b/>
                <w:i w:val="0"/>
                <w:color w:val="FFFFFF"/>
                <w:sz w:val="20"/>
              </w:rPr>
              <w:t>Role</w:t>
            </w:r>
          </w:p>
        </w:tc>
      </w:tr>
      <w:tr>
        <w:tc>
          <w:tcPr>
            <w:tcW w:type="dxa" w:w="3137"/>
            <w:tcBorders>
              <w:top w:val="single" w:sz="4" w:space="0" w:color="D0D7DE"/>
              <w:left w:val="single" w:sz="4" w:space="0" w:color="D0D7DE"/>
              <w:bottom w:val="single" w:sz="4" w:space="0" w:color="D0D7DE"/>
              <w:right w:val="single" w:sz="4" w:space="0" w:color="D0D7DE"/>
            </w:tcBorders>
          </w:tcPr>
          <w:p>
            <w:pPr>
              <w:jc w:val="left"/>
            </w:pPr>
            <w:r/>
            <w:r>
              <w:rPr>
                <w:rFonts w:ascii="Calibri" w:hAnsi="Calibri" w:eastAsia="Calibri"/>
                <w:b w:val="0"/>
                <w:i w:val="0"/>
                <w:color w:val="2D2D2D"/>
                <w:sz w:val="20"/>
              </w:rPr>
              <w:t>Full dataset</w:t>
            </w:r>
          </w:p>
        </w:tc>
        <w:tc>
          <w:tcPr>
            <w:tcW w:type="dxa" w:w="3137"/>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800</w:t>
            </w:r>
          </w:p>
        </w:tc>
        <w:tc>
          <w:tcPr>
            <w:tcW w:type="dxa" w:w="3137"/>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Generated sample</w:t>
            </w:r>
          </w:p>
        </w:tc>
      </w:tr>
      <w:tr>
        <w:tc>
          <w:tcPr>
            <w:tcW w:type="dxa" w:w="3137"/>
            <w:shd w:fill="EAF1F8" w:val="clear"/>
            <w:tcBorders>
              <w:top w:val="single" w:sz="4" w:space="0" w:color="D0D7DE"/>
              <w:left w:val="single" w:sz="4" w:space="0" w:color="D0D7DE"/>
              <w:bottom w:val="single" w:sz="4" w:space="0" w:color="D0D7DE"/>
              <w:right w:val="single" w:sz="4" w:space="0" w:color="D0D7DE"/>
            </w:tcBorders>
          </w:tcPr>
          <w:p>
            <w:pPr>
              <w:jc w:val="left"/>
            </w:pPr>
            <w:r/>
            <w:r>
              <w:rPr>
                <w:rFonts w:ascii="Calibri" w:hAnsi="Calibri" w:eastAsia="Calibri"/>
                <w:b w:val="0"/>
                <w:i w:val="0"/>
                <w:color w:val="2D2D2D"/>
                <w:sz w:val="20"/>
              </w:rPr>
              <w:t>Training</w:t>
            </w:r>
          </w:p>
        </w:tc>
        <w:tc>
          <w:tcPr>
            <w:tcW w:type="dxa" w:w="3137"/>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640</w:t>
            </w:r>
          </w:p>
        </w:tc>
        <w:tc>
          <w:tcPr>
            <w:tcW w:type="dxa" w:w="3137"/>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Fit pipeline + GridSearchCV</w:t>
            </w:r>
          </w:p>
        </w:tc>
      </w:tr>
      <w:tr>
        <w:tc>
          <w:tcPr>
            <w:tcW w:type="dxa" w:w="3137"/>
            <w:tcBorders>
              <w:top w:val="single" w:sz="4" w:space="0" w:color="D0D7DE"/>
              <w:left w:val="single" w:sz="4" w:space="0" w:color="D0D7DE"/>
              <w:bottom w:val="single" w:sz="4" w:space="0" w:color="D0D7DE"/>
              <w:right w:val="single" w:sz="4" w:space="0" w:color="D0D7DE"/>
            </w:tcBorders>
          </w:tcPr>
          <w:p>
            <w:pPr>
              <w:jc w:val="left"/>
            </w:pPr>
            <w:r/>
            <w:r>
              <w:rPr>
                <w:rFonts w:ascii="Calibri" w:hAnsi="Calibri" w:eastAsia="Calibri"/>
                <w:b w:val="0"/>
                <w:i w:val="0"/>
                <w:color w:val="2D2D2D"/>
                <w:sz w:val="20"/>
              </w:rPr>
              <w:t>Hold-out test</w:t>
            </w:r>
          </w:p>
        </w:tc>
        <w:tc>
          <w:tcPr>
            <w:tcW w:type="dxa" w:w="3137"/>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160</w:t>
            </w:r>
          </w:p>
        </w:tc>
        <w:tc>
          <w:tcPr>
            <w:tcW w:type="dxa" w:w="3137"/>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Final reported metrics</w:t>
            </w:r>
          </w:p>
        </w:tc>
      </w:tr>
    </w:tbl>
    <w:p/>
    <w:p>
      <w:pPr>
        <w:pBdr>
          <w:bottom w:val="single" w:sz="12" w:space="1" w:color="1F4E79"/>
        </w:pBdr>
        <w:spacing w:before="280" w:after="160" w:line="276" w:lineRule="auto"/>
      </w:pPr>
      <w:r>
        <w:rPr>
          <w:rFonts w:ascii="Calibri" w:hAnsi="Calibri" w:eastAsia="Calibri"/>
          <w:b/>
          <w:i w:val="0"/>
          <w:color w:val="1F4E79"/>
          <w:sz w:val="32"/>
        </w:rPr>
        <w:t>4. Model training and testing</w:t>
      </w:r>
    </w:p>
    <w:p>
      <w:pPr>
        <w:spacing w:before="0" w:after="160" w:line="276" w:lineRule="auto"/>
        <w:jc w:val="both"/>
      </w:pPr>
      <w:r>
        <w:rPr>
          <w:rFonts w:ascii="Calibri" w:hAnsi="Calibri" w:eastAsia="Calibri"/>
          <w:b w:val="0"/>
          <w:i w:val="0"/>
          <w:color w:val="2D2D2D"/>
          <w:sz w:val="22"/>
        </w:rPr>
        <w:t>Random Forest was the strongest family on this problem in Weeks 2 and 3, so it is the model that gets deployed. Hyperparameters are not copied from Week 3 blindly — they are re-selected with GridSearchCV on this week's training split, scoring F1 under stratified 5-fold CV. The winning configuration is then refit on the full training set.</w:t>
      </w:r>
    </w:p>
    <w:p>
      <w:pPr>
        <w:spacing w:before="160" w:after="80" w:line="276" w:lineRule="auto"/>
      </w:pPr>
      <w:r>
        <w:rPr>
          <w:rFonts w:ascii="Calibri" w:hAnsi="Calibri" w:eastAsia="Calibri"/>
          <w:b w:val="0"/>
          <w:i/>
          <w:color w:val="555555"/>
          <w:sz w:val="20"/>
        </w:rPr>
        <w:t>Table 2. GridSearchCV result for the deployed forest</w:t>
      </w:r>
    </w:p>
    <w:tbl>
      <w:tblPr>
        <w:tblW w:type="auto" w:w="0"/>
        <w:jc w:val="center"/>
        <w:tblLayout w:type="autofit"/>
        <w:tblLook w:firstColumn="1" w:firstRow="1" w:lastColumn="0" w:lastRow="0" w:noHBand="0" w:noVBand="1" w:val="04A0"/>
      </w:tblPr>
      <w:tblGrid>
        <w:gridCol w:w="4706"/>
        <w:gridCol w:w="4706"/>
      </w:tblGrid>
      <w:tr>
        <w:tc>
          <w:tcPr>
            <w:tcW w:type="dxa" w:w="4706"/>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Calibri" w:hAnsi="Calibri" w:eastAsia="Calibri"/>
                <w:b/>
                <w:i w:val="0"/>
                <w:color w:val="FFFFFF"/>
                <w:sz w:val="20"/>
              </w:rPr>
              <w:t>Hyperparameter</w:t>
            </w:r>
          </w:p>
        </w:tc>
        <w:tc>
          <w:tcPr>
            <w:tcW w:type="dxa" w:w="4706"/>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Calibri" w:hAnsi="Calibri" w:eastAsia="Calibri"/>
                <w:b/>
                <w:i w:val="0"/>
                <w:color w:val="FFFFFF"/>
                <w:sz w:val="20"/>
              </w:rPr>
              <w:t>Value</w:t>
            </w:r>
          </w:p>
        </w:tc>
      </w:tr>
      <w:tr>
        <w:tc>
          <w:tcPr>
            <w:tcW w:type="dxa" w:w="4706"/>
            <w:tcBorders>
              <w:top w:val="single" w:sz="4" w:space="0" w:color="D0D7DE"/>
              <w:left w:val="single" w:sz="4" w:space="0" w:color="D0D7DE"/>
              <w:bottom w:val="single" w:sz="4" w:space="0" w:color="D0D7DE"/>
              <w:right w:val="single" w:sz="4" w:space="0" w:color="D0D7DE"/>
            </w:tcBorders>
          </w:tcPr>
          <w:p>
            <w:pPr>
              <w:jc w:val="left"/>
            </w:pPr>
            <w:r/>
            <w:r>
              <w:rPr>
                <w:rFonts w:ascii="Calibri" w:hAnsi="Calibri" w:eastAsia="Calibri"/>
                <w:b w:val="0"/>
                <w:i w:val="0"/>
                <w:color w:val="2D2D2D"/>
                <w:sz w:val="20"/>
              </w:rPr>
              <w:t>max_depth</w:t>
            </w:r>
          </w:p>
        </w:tc>
        <w:tc>
          <w:tcPr>
            <w:tcW w:type="dxa" w:w="4706"/>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None</w:t>
            </w:r>
          </w:p>
        </w:tc>
      </w:tr>
      <w:tr>
        <w:tc>
          <w:tcPr>
            <w:tcW w:type="dxa" w:w="4706"/>
            <w:shd w:fill="EAF1F8" w:val="clear"/>
            <w:tcBorders>
              <w:top w:val="single" w:sz="4" w:space="0" w:color="D0D7DE"/>
              <w:left w:val="single" w:sz="4" w:space="0" w:color="D0D7DE"/>
              <w:bottom w:val="single" w:sz="4" w:space="0" w:color="D0D7DE"/>
              <w:right w:val="single" w:sz="4" w:space="0" w:color="D0D7DE"/>
            </w:tcBorders>
          </w:tcPr>
          <w:p>
            <w:pPr>
              <w:jc w:val="left"/>
            </w:pPr>
            <w:r/>
            <w:r>
              <w:rPr>
                <w:rFonts w:ascii="Calibri" w:hAnsi="Calibri" w:eastAsia="Calibri"/>
                <w:b w:val="0"/>
                <w:i w:val="0"/>
                <w:color w:val="2D2D2D"/>
                <w:sz w:val="20"/>
              </w:rPr>
              <w:t>max_features</w:t>
            </w:r>
          </w:p>
        </w:tc>
        <w:tc>
          <w:tcPr>
            <w:tcW w:type="dxa" w:w="4706"/>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sqrt</w:t>
            </w:r>
          </w:p>
        </w:tc>
      </w:tr>
      <w:tr>
        <w:tc>
          <w:tcPr>
            <w:tcW w:type="dxa" w:w="4706"/>
            <w:tcBorders>
              <w:top w:val="single" w:sz="4" w:space="0" w:color="D0D7DE"/>
              <w:left w:val="single" w:sz="4" w:space="0" w:color="D0D7DE"/>
              <w:bottom w:val="single" w:sz="4" w:space="0" w:color="D0D7DE"/>
              <w:right w:val="single" w:sz="4" w:space="0" w:color="D0D7DE"/>
            </w:tcBorders>
          </w:tcPr>
          <w:p>
            <w:pPr>
              <w:jc w:val="left"/>
            </w:pPr>
            <w:r/>
            <w:r>
              <w:rPr>
                <w:rFonts w:ascii="Calibri" w:hAnsi="Calibri" w:eastAsia="Calibri"/>
                <w:b w:val="0"/>
                <w:i w:val="0"/>
                <w:color w:val="2D2D2D"/>
                <w:sz w:val="20"/>
              </w:rPr>
              <w:t>min_samples_split</w:t>
            </w:r>
          </w:p>
        </w:tc>
        <w:tc>
          <w:tcPr>
            <w:tcW w:type="dxa" w:w="4706"/>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2</w:t>
            </w:r>
          </w:p>
        </w:tc>
      </w:tr>
      <w:tr>
        <w:tc>
          <w:tcPr>
            <w:tcW w:type="dxa" w:w="4706"/>
            <w:shd w:fill="EAF1F8" w:val="clear"/>
            <w:tcBorders>
              <w:top w:val="single" w:sz="4" w:space="0" w:color="D0D7DE"/>
              <w:left w:val="single" w:sz="4" w:space="0" w:color="D0D7DE"/>
              <w:bottom w:val="single" w:sz="4" w:space="0" w:color="D0D7DE"/>
              <w:right w:val="single" w:sz="4" w:space="0" w:color="D0D7DE"/>
            </w:tcBorders>
          </w:tcPr>
          <w:p>
            <w:pPr>
              <w:jc w:val="left"/>
            </w:pPr>
            <w:r/>
            <w:r>
              <w:rPr>
                <w:rFonts w:ascii="Calibri" w:hAnsi="Calibri" w:eastAsia="Calibri"/>
                <w:b w:val="0"/>
                <w:i w:val="0"/>
                <w:color w:val="2D2D2D"/>
                <w:sz w:val="20"/>
              </w:rPr>
              <w:t>n_estimators</w:t>
            </w:r>
          </w:p>
        </w:tc>
        <w:tc>
          <w:tcPr>
            <w:tcW w:type="dxa" w:w="4706"/>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300</w:t>
            </w:r>
          </w:p>
        </w:tc>
      </w:tr>
      <w:tr>
        <w:tc>
          <w:tcPr>
            <w:tcW w:type="dxa" w:w="4706"/>
            <w:tcBorders>
              <w:top w:val="single" w:sz="4" w:space="0" w:color="D0D7DE"/>
              <w:left w:val="single" w:sz="4" w:space="0" w:color="D0D7DE"/>
              <w:bottom w:val="single" w:sz="4" w:space="0" w:color="D0D7DE"/>
              <w:right w:val="single" w:sz="4" w:space="0" w:color="D0D7DE"/>
            </w:tcBorders>
          </w:tcPr>
          <w:p>
            <w:pPr>
              <w:jc w:val="left"/>
            </w:pPr>
            <w:r/>
            <w:r>
              <w:rPr>
                <w:rFonts w:ascii="Calibri" w:hAnsi="Calibri" w:eastAsia="Calibri"/>
                <w:b w:val="0"/>
                <w:i w:val="0"/>
                <w:color w:val="2D2D2D"/>
                <w:sz w:val="20"/>
              </w:rPr>
              <w:t>Best CV F1</w:t>
            </w:r>
          </w:p>
        </w:tc>
        <w:tc>
          <w:tcPr>
            <w:tcW w:type="dxa" w:w="4706"/>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25.5%</w:t>
            </w:r>
          </w:p>
        </w:tc>
      </w:tr>
    </w:tbl>
    <w:p/>
    <w:p>
      <w:pPr>
        <w:spacing w:before="160" w:after="80" w:line="276" w:lineRule="auto"/>
      </w:pPr>
      <w:r>
        <w:rPr>
          <w:rFonts w:ascii="Calibri" w:hAnsi="Calibri" w:eastAsia="Calibri"/>
          <w:b w:val="0"/>
          <w:i/>
          <w:color w:val="555555"/>
          <w:sz w:val="20"/>
        </w:rPr>
        <w:t>Table 3. Test-set performance of the serialised pipeline</w:t>
      </w:r>
    </w:p>
    <w:tbl>
      <w:tblPr>
        <w:tblW w:type="auto" w:w="0"/>
        <w:jc w:val="center"/>
        <w:tblLayout w:type="autofit"/>
        <w:tblLook w:firstColumn="1" w:firstRow="1" w:lastColumn="0" w:lastRow="0" w:noHBand="0" w:noVBand="1" w:val="04A0"/>
      </w:tblPr>
      <w:tblGrid>
        <w:gridCol w:w="4706"/>
        <w:gridCol w:w="4706"/>
      </w:tblGrid>
      <w:tr>
        <w:tc>
          <w:tcPr>
            <w:tcW w:type="dxa" w:w="4706"/>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Calibri" w:hAnsi="Calibri" w:eastAsia="Calibri"/>
                <w:b/>
                <w:i w:val="0"/>
                <w:color w:val="FFFFFF"/>
                <w:sz w:val="20"/>
              </w:rPr>
              <w:t>Metric</w:t>
            </w:r>
          </w:p>
        </w:tc>
        <w:tc>
          <w:tcPr>
            <w:tcW w:type="dxa" w:w="4706"/>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Calibri" w:hAnsi="Calibri" w:eastAsia="Calibri"/>
                <w:b/>
                <w:i w:val="0"/>
                <w:color w:val="FFFFFF"/>
                <w:sz w:val="20"/>
              </w:rPr>
              <w:t>Hold-out test</w:t>
            </w:r>
          </w:p>
        </w:tc>
      </w:tr>
      <w:tr>
        <w:tc>
          <w:tcPr>
            <w:tcW w:type="dxa" w:w="4706"/>
            <w:tcBorders>
              <w:top w:val="single" w:sz="4" w:space="0" w:color="D0D7DE"/>
              <w:left w:val="single" w:sz="4" w:space="0" w:color="D0D7DE"/>
              <w:bottom w:val="single" w:sz="4" w:space="0" w:color="D0D7DE"/>
              <w:right w:val="single" w:sz="4" w:space="0" w:color="D0D7DE"/>
            </w:tcBorders>
          </w:tcPr>
          <w:p>
            <w:pPr>
              <w:jc w:val="left"/>
            </w:pPr>
            <w:r/>
            <w:r>
              <w:rPr>
                <w:rFonts w:ascii="Calibri" w:hAnsi="Calibri" w:eastAsia="Calibri"/>
                <w:b w:val="0"/>
                <w:i w:val="0"/>
                <w:color w:val="2D2D2D"/>
                <w:sz w:val="20"/>
              </w:rPr>
              <w:t>Accuracy</w:t>
            </w:r>
          </w:p>
        </w:tc>
        <w:tc>
          <w:tcPr>
            <w:tcW w:type="dxa" w:w="4706"/>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78.8%</w:t>
            </w:r>
          </w:p>
        </w:tc>
      </w:tr>
      <w:tr>
        <w:tc>
          <w:tcPr>
            <w:tcW w:type="dxa" w:w="4706"/>
            <w:shd w:fill="EAF1F8" w:val="clear"/>
            <w:tcBorders>
              <w:top w:val="single" w:sz="4" w:space="0" w:color="D0D7DE"/>
              <w:left w:val="single" w:sz="4" w:space="0" w:color="D0D7DE"/>
              <w:bottom w:val="single" w:sz="4" w:space="0" w:color="D0D7DE"/>
              <w:right w:val="single" w:sz="4" w:space="0" w:color="D0D7DE"/>
            </w:tcBorders>
          </w:tcPr>
          <w:p>
            <w:pPr>
              <w:jc w:val="left"/>
            </w:pPr>
            <w:r/>
            <w:r>
              <w:rPr>
                <w:rFonts w:ascii="Calibri" w:hAnsi="Calibri" w:eastAsia="Calibri"/>
                <w:b w:val="0"/>
                <w:i w:val="0"/>
                <w:color w:val="2D2D2D"/>
                <w:sz w:val="20"/>
              </w:rPr>
              <w:t>Precision (leave)</w:t>
            </w:r>
          </w:p>
        </w:tc>
        <w:tc>
          <w:tcPr>
            <w:tcW w:type="dxa" w:w="4706"/>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66.7%</w:t>
            </w:r>
          </w:p>
        </w:tc>
      </w:tr>
      <w:tr>
        <w:tc>
          <w:tcPr>
            <w:tcW w:type="dxa" w:w="4706"/>
            <w:tcBorders>
              <w:top w:val="single" w:sz="4" w:space="0" w:color="D0D7DE"/>
              <w:left w:val="single" w:sz="4" w:space="0" w:color="D0D7DE"/>
              <w:bottom w:val="single" w:sz="4" w:space="0" w:color="D0D7DE"/>
              <w:right w:val="single" w:sz="4" w:space="0" w:color="D0D7DE"/>
            </w:tcBorders>
          </w:tcPr>
          <w:p>
            <w:pPr>
              <w:jc w:val="left"/>
            </w:pPr>
            <w:r/>
            <w:r>
              <w:rPr>
                <w:rFonts w:ascii="Calibri" w:hAnsi="Calibri" w:eastAsia="Calibri"/>
                <w:b w:val="0"/>
                <w:i w:val="0"/>
                <w:color w:val="2D2D2D"/>
                <w:sz w:val="20"/>
              </w:rPr>
              <w:t>Recall (leave)</w:t>
            </w:r>
          </w:p>
        </w:tc>
        <w:tc>
          <w:tcPr>
            <w:tcW w:type="dxa" w:w="4706"/>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25.6%</w:t>
            </w:r>
          </w:p>
        </w:tc>
      </w:tr>
      <w:tr>
        <w:tc>
          <w:tcPr>
            <w:tcW w:type="dxa" w:w="4706"/>
            <w:shd w:fill="EAF1F8" w:val="clear"/>
            <w:tcBorders>
              <w:top w:val="single" w:sz="4" w:space="0" w:color="D0D7DE"/>
              <w:left w:val="single" w:sz="4" w:space="0" w:color="D0D7DE"/>
              <w:bottom w:val="single" w:sz="4" w:space="0" w:color="D0D7DE"/>
              <w:right w:val="single" w:sz="4" w:space="0" w:color="D0D7DE"/>
            </w:tcBorders>
          </w:tcPr>
          <w:p>
            <w:pPr>
              <w:jc w:val="left"/>
            </w:pPr>
            <w:r/>
            <w:r>
              <w:rPr>
                <w:rFonts w:ascii="Calibri" w:hAnsi="Calibri" w:eastAsia="Calibri"/>
                <w:b w:val="0"/>
                <w:i w:val="0"/>
                <w:color w:val="2D2D2D"/>
                <w:sz w:val="20"/>
              </w:rPr>
              <w:t>F1-score</w:t>
            </w:r>
          </w:p>
        </w:tc>
        <w:tc>
          <w:tcPr>
            <w:tcW w:type="dxa" w:w="4706"/>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37.0%</w:t>
            </w:r>
          </w:p>
        </w:tc>
      </w:tr>
      <w:tr>
        <w:tc>
          <w:tcPr>
            <w:tcW w:type="dxa" w:w="4706"/>
            <w:tcBorders>
              <w:top w:val="single" w:sz="4" w:space="0" w:color="D0D7DE"/>
              <w:left w:val="single" w:sz="4" w:space="0" w:color="D0D7DE"/>
              <w:bottom w:val="single" w:sz="4" w:space="0" w:color="D0D7DE"/>
              <w:right w:val="single" w:sz="4" w:space="0" w:color="D0D7DE"/>
            </w:tcBorders>
          </w:tcPr>
          <w:p>
            <w:pPr>
              <w:jc w:val="left"/>
            </w:pPr>
            <w:r/>
            <w:r>
              <w:rPr>
                <w:rFonts w:ascii="Calibri" w:hAnsi="Calibri" w:eastAsia="Calibri"/>
                <w:b w:val="0"/>
                <w:i w:val="0"/>
                <w:color w:val="2D2D2D"/>
                <w:sz w:val="20"/>
              </w:rPr>
              <w:t>ROC-AUC</w:t>
            </w:r>
          </w:p>
        </w:tc>
        <w:tc>
          <w:tcPr>
            <w:tcW w:type="dxa" w:w="4706"/>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0.738</w:t>
            </w:r>
          </w:p>
        </w:tc>
      </w:tr>
    </w:tbl>
    <w:p/>
    <w:p>
      <w:pPr>
        <w:spacing w:before="120" w:after="40" w:line="276" w:lineRule="auto"/>
        <w:jc w:val="center"/>
      </w:pPr>
      <w:r>
        <w:drawing>
          <wp:inline xmlns:a="http://schemas.openxmlformats.org/drawingml/2006/main" xmlns:pic="http://schemas.openxmlformats.org/drawingml/2006/picture">
            <wp:extent cx="5669280" cy="4797083"/>
            <wp:docPr id="2" name="Picture 2"/>
            <wp:cNvGraphicFramePr>
              <a:graphicFrameLocks noChangeAspect="1"/>
            </wp:cNvGraphicFramePr>
            <a:graphic>
              <a:graphicData uri="http://schemas.openxmlformats.org/drawingml/2006/picture">
                <pic:pic>
                  <pic:nvPicPr>
                    <pic:cNvPr id="0" name="confusion_matrix.png"/>
                    <pic:cNvPicPr/>
                  </pic:nvPicPr>
                  <pic:blipFill>
                    <a:blip r:embed="rId12"/>
                    <a:stretch>
                      <a:fillRect/>
                    </a:stretch>
                  </pic:blipFill>
                  <pic:spPr>
                    <a:xfrm>
                      <a:off x="0" y="0"/>
                      <a:ext cx="5669280" cy="4797083"/>
                    </a:xfrm>
                    <a:prstGeom prst="rect"/>
                  </pic:spPr>
                </pic:pic>
              </a:graphicData>
            </a:graphic>
          </wp:inline>
        </w:drawing>
      </w:r>
    </w:p>
    <w:p>
      <w:pPr>
        <w:spacing w:before="0" w:after="200" w:line="276" w:lineRule="auto"/>
        <w:jc w:val="center"/>
      </w:pPr>
      <w:r>
        <w:rPr>
          <w:rFonts w:ascii="Calibri" w:hAnsi="Calibri" w:eastAsia="Calibri"/>
          <w:b w:val="0"/>
          <w:i/>
          <w:color w:val="555555"/>
          <w:sz w:val="20"/>
        </w:rPr>
        <w:t>Figure 2. Confusion matrix of the deployed pipeline on the hold-out set.</w:t>
      </w:r>
    </w:p>
    <w:p>
      <w:pPr>
        <w:spacing w:before="120" w:after="40" w:line="276" w:lineRule="auto"/>
        <w:jc w:val="center"/>
      </w:pPr>
      <w:r>
        <w:drawing>
          <wp:inline xmlns:a="http://schemas.openxmlformats.org/drawingml/2006/main" xmlns:pic="http://schemas.openxmlformats.org/drawingml/2006/picture">
            <wp:extent cx="5669280" cy="4859383"/>
            <wp:docPr id="3" name="Picture 3"/>
            <wp:cNvGraphicFramePr>
              <a:graphicFrameLocks noChangeAspect="1"/>
            </wp:cNvGraphicFramePr>
            <a:graphic>
              <a:graphicData uri="http://schemas.openxmlformats.org/drawingml/2006/picture">
                <pic:pic>
                  <pic:nvPicPr>
                    <pic:cNvPr id="0" name="roc_curve.png"/>
                    <pic:cNvPicPr/>
                  </pic:nvPicPr>
                  <pic:blipFill>
                    <a:blip r:embed="rId13"/>
                    <a:stretch>
                      <a:fillRect/>
                    </a:stretch>
                  </pic:blipFill>
                  <pic:spPr>
                    <a:xfrm>
                      <a:off x="0" y="0"/>
                      <a:ext cx="5669280" cy="4859383"/>
                    </a:xfrm>
                    <a:prstGeom prst="rect"/>
                  </pic:spPr>
                </pic:pic>
              </a:graphicData>
            </a:graphic>
          </wp:inline>
        </w:drawing>
      </w:r>
    </w:p>
    <w:p>
      <w:pPr>
        <w:spacing w:before="0" w:after="200" w:line="276" w:lineRule="auto"/>
        <w:jc w:val="center"/>
      </w:pPr>
      <w:r>
        <w:rPr>
          <w:rFonts w:ascii="Calibri" w:hAnsi="Calibri" w:eastAsia="Calibri"/>
          <w:b w:val="0"/>
          <w:i/>
          <w:color w:val="555555"/>
          <w:sz w:val="20"/>
        </w:rPr>
        <w:t>Figure 3. ROC curve of the deployed pipeline.</w:t>
      </w:r>
    </w:p>
    <w:p>
      <w:pPr>
        <w:spacing w:before="120" w:after="40" w:line="276" w:lineRule="auto"/>
        <w:jc w:val="center"/>
      </w:pPr>
      <w:r>
        <w:drawing>
          <wp:inline xmlns:a="http://schemas.openxmlformats.org/drawingml/2006/main" xmlns:pic="http://schemas.openxmlformats.org/drawingml/2006/picture">
            <wp:extent cx="5669280" cy="3897630"/>
            <wp:docPr id="4" name="Picture 4"/>
            <wp:cNvGraphicFramePr>
              <a:graphicFrameLocks noChangeAspect="1"/>
            </wp:cNvGraphicFramePr>
            <a:graphic>
              <a:graphicData uri="http://schemas.openxmlformats.org/drawingml/2006/picture">
                <pic:pic>
                  <pic:nvPicPr>
                    <pic:cNvPr id="0" name="feature_importance.png"/>
                    <pic:cNvPicPr/>
                  </pic:nvPicPr>
                  <pic:blipFill>
                    <a:blip r:embed="rId14"/>
                    <a:stretch>
                      <a:fillRect/>
                    </a:stretch>
                  </pic:blipFill>
                  <pic:spPr>
                    <a:xfrm>
                      <a:off x="0" y="0"/>
                      <a:ext cx="5669280" cy="3897630"/>
                    </a:xfrm>
                    <a:prstGeom prst="rect"/>
                  </pic:spPr>
                </pic:pic>
              </a:graphicData>
            </a:graphic>
          </wp:inline>
        </w:drawing>
      </w:r>
    </w:p>
    <w:p>
      <w:pPr>
        <w:spacing w:before="0" w:after="200" w:line="276" w:lineRule="auto"/>
        <w:jc w:val="center"/>
      </w:pPr>
      <w:r>
        <w:rPr>
          <w:rFonts w:ascii="Calibri" w:hAnsi="Calibri" w:eastAsia="Calibri"/>
          <w:b w:val="0"/>
          <w:i/>
          <w:color w:val="555555"/>
          <w:sz w:val="20"/>
        </w:rPr>
        <w:t>Figure 4. Largest feature importances inside the deployed Random Forest.</w:t>
      </w:r>
    </w:p>
    <w:p>
      <w:pPr>
        <w:spacing w:before="0" w:after="160" w:line="276" w:lineRule="auto"/>
        <w:jc w:val="both"/>
      </w:pPr>
      <w:r>
        <w:rPr>
          <w:rFonts w:ascii="Calibri" w:hAnsi="Calibri" w:eastAsia="Calibri"/>
          <w:b w:val="0"/>
          <w:i w:val="0"/>
          <w:color w:val="2D2D2D"/>
          <w:sz w:val="22"/>
        </w:rPr>
        <w:t>Recall on the 'leave' class is still the hardest number, as it was in Weeks 2 and 3: most employees stay, so a 0.5 threshold is conservative. The API therefore returns the probability and a risk band (Low / Medium / High) rather than only a Yes/No label, so a caller can apply a threshold that matches the cost of a missed leaver.</w:t>
      </w:r>
    </w:p>
    <w:p>
      <w:pPr>
        <w:pBdr>
          <w:bottom w:val="single" w:sz="12" w:space="1" w:color="1F4E79"/>
        </w:pBdr>
        <w:spacing w:before="280" w:after="160" w:line="276" w:lineRule="auto"/>
      </w:pPr>
      <w:r>
        <w:rPr>
          <w:rFonts w:ascii="Calibri" w:hAnsi="Calibri" w:eastAsia="Calibri"/>
          <w:b/>
          <w:i w:val="0"/>
          <w:color w:val="1F4E79"/>
          <w:sz w:val="32"/>
        </w:rPr>
        <w:t>5. Model serialisation — Joblib and Pickle</w:t>
      </w:r>
    </w:p>
    <w:p>
      <w:pPr>
        <w:spacing w:before="0" w:after="160" w:line="276" w:lineRule="auto"/>
        <w:jc w:val="both"/>
      </w:pPr>
      <w:r>
        <w:rPr>
          <w:rFonts w:ascii="Calibri" w:hAnsi="Calibri" w:eastAsia="Calibri"/>
          <w:b w:val="0"/>
          <w:i w:val="0"/>
          <w:color w:val="2D2D2D"/>
          <w:sz w:val="22"/>
        </w:rPr>
        <w:t>Once the Pipeline has been fitted it is an ordinary Python object: a nested structure of transformers, a forest of decision trees, and the category levels seen during training. Serialisation writes that object to disk so the API process does not have to retrain on every startup. Two formats are saved, as the task requires:</w:t>
      </w:r>
    </w:p>
    <w:p>
      <w:pPr>
        <w:pStyle w:val="ListBullet"/>
        <w:spacing w:before="0" w:after="80" w:line="276" w:lineRule="auto"/>
      </w:pPr>
      <w:r>
        <w:rPr>
          <w:rFonts w:ascii="Calibri" w:hAnsi="Calibri" w:eastAsia="Calibri"/>
          <w:b w:val="0"/>
          <w:i w:val="0"/>
          <w:color w:val="2D2D2D"/>
          <w:sz w:val="22"/>
        </w:rPr>
        <w:t>Joblib (models/attrition_pipeline.joblib) — the recommended way to persist scikit-learn objects. It is efficient for arrays of NumPy numeric trees and is what app.py loads.</w:t>
      </w:r>
    </w:p>
    <w:p>
      <w:pPr>
        <w:pStyle w:val="ListBullet"/>
        <w:spacing w:before="0" w:after="80" w:line="276" w:lineRule="auto"/>
      </w:pPr>
      <w:r>
        <w:rPr>
          <w:rFonts w:ascii="Calibri" w:hAnsi="Calibri" w:eastAsia="Calibri"/>
          <w:b w:val="0"/>
          <w:i w:val="0"/>
          <w:color w:val="2D2D2D"/>
          <w:sz w:val="22"/>
        </w:rPr>
        <w:t>Pickle (models/attrition_pipeline.pkl) — the standard library equivalent. It produces a larger file for the same object and is kept so either loading path can be demonstrated.</w:t>
      </w:r>
    </w:p>
    <w:p>
      <w:pPr>
        <w:spacing w:before="80" w:after="160" w:line="259" w:lineRule="auto"/>
        <w:shd w:fill="F4F6F8" w:val="clear"/>
      </w:pPr>
      <w:r>
        <w:rPr>
          <w:rFonts w:ascii="Consolas" w:hAnsi="Consolas" w:eastAsia="Consolas"/>
          <w:b w:val="0"/>
          <w:i w:val="0"/>
          <w:color w:val="1E1E1E"/>
          <w:sz w:val="18"/>
        </w:rPr>
        <w:t>import joblib, pickle</w:t>
        <w:br/>
        <w:br/>
        <w:t>joblib.dump(best, 'models/attrition_pipeline.joblib')</w:t>
        <w:br/>
        <w:t>with open('models/attrition_pipeline.pkl', 'wb') as f:</w:t>
        <w:br/>
        <w:t xml:space="preserve">    pickle.dump(best, f)</w:t>
        <w:br/>
        <w:br/>
        <w:t># API startup</w:t>
        <w:br/>
        <w:t>model = joblib.load('models/attrition_pipeline.joblib')</w:t>
      </w:r>
    </w:p>
    <w:p>
      <w:pPr>
        <w:spacing w:before="0" w:after="160" w:line="276" w:lineRule="auto"/>
        <w:jc w:val="both"/>
      </w:pPr>
      <w:r>
        <w:rPr>
          <w:rFonts w:ascii="Calibri" w:hAnsi="Calibri" w:eastAsia="Calibri"/>
          <w:b w:val="0"/>
          <w:i w:val="0"/>
          <w:color w:val="2D2D2D"/>
          <w:sz w:val="22"/>
        </w:rPr>
        <w:t>A companion metadata.json records feature names, class labels and test metrics so the API can describe itself at GET /metadata without anyone opening the notebook that trained the model. The important production caveat: pickle/joblib files are Python-version and sklearn-version sensitive, and they should only be loaded from a trusted path — they can execute code on load. That is acceptable here because we both wrote and consume the file in the same project.</w:t>
      </w:r>
    </w:p>
    <w:p>
      <w:pPr>
        <w:pBdr>
          <w:bottom w:val="single" w:sz="12" w:space="1" w:color="1F4E79"/>
        </w:pBdr>
        <w:spacing w:before="280" w:after="160" w:line="276" w:lineRule="auto"/>
      </w:pPr>
      <w:r>
        <w:rPr>
          <w:rFonts w:ascii="Calibri" w:hAnsi="Calibri" w:eastAsia="Calibri"/>
          <w:b/>
          <w:i w:val="0"/>
          <w:color w:val="1F4E79"/>
          <w:sz w:val="32"/>
        </w:rPr>
        <w:t>6. Prediction API (FastAPI)</w:t>
      </w:r>
    </w:p>
    <w:p>
      <w:pPr>
        <w:spacing w:before="0" w:after="160" w:line="276" w:lineRule="auto"/>
        <w:jc w:val="both"/>
      </w:pPr>
      <w:r>
        <w:rPr>
          <w:rFonts w:ascii="Calibri" w:hAnsi="Calibri" w:eastAsia="Calibri"/>
          <w:b w:val="0"/>
          <w:i w:val="0"/>
          <w:color w:val="2D2D2D"/>
          <w:sz w:val="22"/>
        </w:rPr>
        <w:t>FastAPI was chosen over Flask for the same job because request bodies are validated by a Pydantic model (a missing field or a performance score of 9 is rejected with a 422 before the forest ever runs) and because /docs is generated automatically. The service binds to 0.0.0.0 and uses relative URLs in the browser UI, so it works behind a preview proxy as well as on localhost.</w:t>
      </w:r>
    </w:p>
    <w:p>
      <w:pPr>
        <w:spacing w:before="80" w:after="160" w:line="259" w:lineRule="auto"/>
        <w:shd w:fill="F4F6F8" w:val="clear"/>
      </w:pPr>
      <w:r>
        <w:rPr>
          <w:rFonts w:ascii="Consolas" w:hAnsi="Consolas" w:eastAsia="Consolas"/>
          <w:b w:val="0"/>
          <w:i w:val="0"/>
          <w:color w:val="1E1E1E"/>
          <w:sz w:val="18"/>
        </w:rPr>
        <w:t>POST /predict</w:t>
        <w:br/>
        <w:t>{</w:t>
        <w:br/>
        <w:t xml:space="preserve">  "age": 29,</w:t>
        <w:br/>
        <w:t xml:space="preserve">  "gender": "Female",</w:t>
        <w:br/>
        <w:t xml:space="preserve">  "department": "Sales",</w:t>
        <w:br/>
        <w:t xml:space="preserve">  "city": "New York",</w:t>
        <w:br/>
        <w:t xml:space="preserve">  "years_experience": 3,</w:t>
        <w:br/>
        <w:t xml:space="preserve">  "monthly_salary": 38000,</w:t>
        <w:br/>
        <w:t xml:space="preserve">  "performance_score": 2</w:t>
        <w:br/>
        <w:t>}</w:t>
        <w:br/>
        <w:br/>
        <w:t>→ {</w:t>
        <w:br/>
        <w:t xml:space="preserve">  "attrition": "Yes" | "No",</w:t>
        <w:br/>
        <w:t xml:space="preserve">  "probability_leave": 0.0–1.0,</w:t>
        <w:br/>
        <w:t xml:space="preserve">  "risk_level": "Low" | "Medium" | "High",</w:t>
        <w:br/>
        <w:t xml:space="preserve">  "message": "..."</w:t>
        <w:br/>
        <w:t>}</w:t>
      </w:r>
    </w:p>
    <w:p>
      <w:pPr>
        <w:spacing w:before="160" w:after="80" w:line="276" w:lineRule="auto"/>
      </w:pPr>
      <w:r>
        <w:rPr>
          <w:rFonts w:ascii="Calibri" w:hAnsi="Calibri" w:eastAsia="Calibri"/>
          <w:b w:val="0"/>
          <w:i/>
          <w:color w:val="555555"/>
          <w:sz w:val="20"/>
        </w:rPr>
        <w:t>Table 4. API surface</w:t>
      </w:r>
    </w:p>
    <w:tbl>
      <w:tblPr>
        <w:tblW w:type="auto" w:w="0"/>
        <w:jc w:val="center"/>
        <w:tblLayout w:type="autofit"/>
        <w:tblLook w:firstColumn="1" w:firstRow="1" w:lastColumn="0" w:lastRow="0" w:noHBand="0" w:noVBand="1" w:val="04A0"/>
      </w:tblPr>
      <w:tblGrid>
        <w:gridCol w:w="3137"/>
        <w:gridCol w:w="3137"/>
        <w:gridCol w:w="3137"/>
      </w:tblGrid>
      <w:tr>
        <w:tc>
          <w:tcPr>
            <w:tcW w:type="dxa" w:w="3137"/>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Calibri" w:hAnsi="Calibri" w:eastAsia="Calibri"/>
                <w:b/>
                <w:i w:val="0"/>
                <w:color w:val="FFFFFF"/>
                <w:sz w:val="20"/>
              </w:rPr>
              <w:t>Endpoint</w:t>
            </w:r>
          </w:p>
        </w:tc>
        <w:tc>
          <w:tcPr>
            <w:tcW w:type="dxa" w:w="3137"/>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Calibri" w:hAnsi="Calibri" w:eastAsia="Calibri"/>
                <w:b/>
                <w:i w:val="0"/>
                <w:color w:val="FFFFFF"/>
                <w:sz w:val="20"/>
              </w:rPr>
              <w:t>Method</w:t>
            </w:r>
          </w:p>
        </w:tc>
        <w:tc>
          <w:tcPr>
            <w:tcW w:type="dxa" w:w="3137"/>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Calibri" w:hAnsi="Calibri" w:eastAsia="Calibri"/>
                <w:b/>
                <w:i w:val="0"/>
                <w:color w:val="FFFFFF"/>
                <w:sz w:val="20"/>
              </w:rPr>
              <w:t>Purpose</w:t>
            </w:r>
          </w:p>
        </w:tc>
      </w:tr>
      <w:tr>
        <w:tc>
          <w:tcPr>
            <w:tcW w:type="dxa" w:w="3137"/>
            <w:tcBorders>
              <w:top w:val="single" w:sz="4" w:space="0" w:color="D0D7DE"/>
              <w:left w:val="single" w:sz="4" w:space="0" w:color="D0D7DE"/>
              <w:bottom w:val="single" w:sz="4" w:space="0" w:color="D0D7DE"/>
              <w:right w:val="single" w:sz="4" w:space="0" w:color="D0D7DE"/>
            </w:tcBorders>
          </w:tcPr>
          <w:p>
            <w:pPr>
              <w:jc w:val="left"/>
            </w:pPr>
            <w:r/>
            <w:r>
              <w:rPr>
                <w:rFonts w:ascii="Calibri" w:hAnsi="Calibri" w:eastAsia="Calibri"/>
                <w:b w:val="0"/>
                <w:i w:val="0"/>
                <w:color w:val="2D2D2D"/>
                <w:sz w:val="20"/>
              </w:rPr>
              <w:t>/</w:t>
            </w:r>
          </w:p>
        </w:tc>
        <w:tc>
          <w:tcPr>
            <w:tcW w:type="dxa" w:w="3137"/>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GET</w:t>
            </w:r>
          </w:p>
        </w:tc>
        <w:tc>
          <w:tcPr>
            <w:tcW w:type="dxa" w:w="3137"/>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HR web UI (HTML)</w:t>
            </w:r>
          </w:p>
        </w:tc>
      </w:tr>
      <w:tr>
        <w:tc>
          <w:tcPr>
            <w:tcW w:type="dxa" w:w="3137"/>
            <w:shd w:fill="EAF1F8" w:val="clear"/>
            <w:tcBorders>
              <w:top w:val="single" w:sz="4" w:space="0" w:color="D0D7DE"/>
              <w:left w:val="single" w:sz="4" w:space="0" w:color="D0D7DE"/>
              <w:bottom w:val="single" w:sz="4" w:space="0" w:color="D0D7DE"/>
              <w:right w:val="single" w:sz="4" w:space="0" w:color="D0D7DE"/>
            </w:tcBorders>
          </w:tcPr>
          <w:p>
            <w:pPr>
              <w:jc w:val="left"/>
            </w:pPr>
            <w:r/>
            <w:r>
              <w:rPr>
                <w:rFonts w:ascii="Calibri" w:hAnsi="Calibri" w:eastAsia="Calibri"/>
                <w:b w:val="0"/>
                <w:i w:val="0"/>
                <w:color w:val="2D2D2D"/>
                <w:sz w:val="20"/>
              </w:rPr>
              <w:t>/presentation</w:t>
            </w:r>
          </w:p>
        </w:tc>
        <w:tc>
          <w:tcPr>
            <w:tcW w:type="dxa" w:w="3137"/>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GET</w:t>
            </w:r>
          </w:p>
        </w:tc>
        <w:tc>
          <w:tcPr>
            <w:tcW w:type="dxa" w:w="3137"/>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Capstone slide deck (HTML)</w:t>
            </w:r>
          </w:p>
        </w:tc>
      </w:tr>
      <w:tr>
        <w:tc>
          <w:tcPr>
            <w:tcW w:type="dxa" w:w="3137"/>
            <w:tcBorders>
              <w:top w:val="single" w:sz="4" w:space="0" w:color="D0D7DE"/>
              <w:left w:val="single" w:sz="4" w:space="0" w:color="D0D7DE"/>
              <w:bottom w:val="single" w:sz="4" w:space="0" w:color="D0D7DE"/>
              <w:right w:val="single" w:sz="4" w:space="0" w:color="D0D7DE"/>
            </w:tcBorders>
          </w:tcPr>
          <w:p>
            <w:pPr>
              <w:jc w:val="left"/>
            </w:pPr>
            <w:r/>
            <w:r>
              <w:rPr>
                <w:rFonts w:ascii="Calibri" w:hAnsi="Calibri" w:eastAsia="Calibri"/>
                <w:b w:val="0"/>
                <w:i w:val="0"/>
                <w:color w:val="2D2D2D"/>
                <w:sz w:val="20"/>
              </w:rPr>
              <w:t>/health</w:t>
            </w:r>
          </w:p>
        </w:tc>
        <w:tc>
          <w:tcPr>
            <w:tcW w:type="dxa" w:w="3137"/>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GET</w:t>
            </w:r>
          </w:p>
        </w:tc>
        <w:tc>
          <w:tcPr>
            <w:tcW w:type="dxa" w:w="3137"/>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Liveness check</w:t>
            </w:r>
          </w:p>
        </w:tc>
      </w:tr>
      <w:tr>
        <w:tc>
          <w:tcPr>
            <w:tcW w:type="dxa" w:w="3137"/>
            <w:shd w:fill="EAF1F8" w:val="clear"/>
            <w:tcBorders>
              <w:top w:val="single" w:sz="4" w:space="0" w:color="D0D7DE"/>
              <w:left w:val="single" w:sz="4" w:space="0" w:color="D0D7DE"/>
              <w:bottom w:val="single" w:sz="4" w:space="0" w:color="D0D7DE"/>
              <w:right w:val="single" w:sz="4" w:space="0" w:color="D0D7DE"/>
            </w:tcBorders>
          </w:tcPr>
          <w:p>
            <w:pPr>
              <w:jc w:val="left"/>
            </w:pPr>
            <w:r/>
            <w:r>
              <w:rPr>
                <w:rFonts w:ascii="Calibri" w:hAnsi="Calibri" w:eastAsia="Calibri"/>
                <w:b w:val="0"/>
                <w:i w:val="0"/>
                <w:color w:val="2D2D2D"/>
                <w:sz w:val="20"/>
              </w:rPr>
              <w:t>/metadata</w:t>
            </w:r>
          </w:p>
        </w:tc>
        <w:tc>
          <w:tcPr>
            <w:tcW w:type="dxa" w:w="3137"/>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GET</w:t>
            </w:r>
          </w:p>
        </w:tc>
        <w:tc>
          <w:tcPr>
            <w:tcW w:type="dxa" w:w="3137"/>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Feature list, metrics, serialisation paths</w:t>
            </w:r>
          </w:p>
        </w:tc>
      </w:tr>
      <w:tr>
        <w:tc>
          <w:tcPr>
            <w:tcW w:type="dxa" w:w="3137"/>
            <w:tcBorders>
              <w:top w:val="single" w:sz="4" w:space="0" w:color="D0D7DE"/>
              <w:left w:val="single" w:sz="4" w:space="0" w:color="D0D7DE"/>
              <w:bottom w:val="single" w:sz="4" w:space="0" w:color="D0D7DE"/>
              <w:right w:val="single" w:sz="4" w:space="0" w:color="D0D7DE"/>
            </w:tcBorders>
          </w:tcPr>
          <w:p>
            <w:pPr>
              <w:jc w:val="left"/>
            </w:pPr>
            <w:r/>
            <w:r>
              <w:rPr>
                <w:rFonts w:ascii="Calibri" w:hAnsi="Calibri" w:eastAsia="Calibri"/>
                <w:b w:val="0"/>
                <w:i w:val="0"/>
                <w:color w:val="2D2D2D"/>
                <w:sz w:val="20"/>
              </w:rPr>
              <w:t>/predict</w:t>
            </w:r>
          </w:p>
        </w:tc>
        <w:tc>
          <w:tcPr>
            <w:tcW w:type="dxa" w:w="3137"/>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POST</w:t>
            </w:r>
          </w:p>
        </w:tc>
        <w:tc>
          <w:tcPr>
            <w:tcW w:type="dxa" w:w="3137"/>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Score one employee</w:t>
            </w:r>
          </w:p>
        </w:tc>
      </w:tr>
      <w:tr>
        <w:tc>
          <w:tcPr>
            <w:tcW w:type="dxa" w:w="3137"/>
            <w:shd w:fill="EAF1F8" w:val="clear"/>
            <w:tcBorders>
              <w:top w:val="single" w:sz="4" w:space="0" w:color="D0D7DE"/>
              <w:left w:val="single" w:sz="4" w:space="0" w:color="D0D7DE"/>
              <w:bottom w:val="single" w:sz="4" w:space="0" w:color="D0D7DE"/>
              <w:right w:val="single" w:sz="4" w:space="0" w:color="D0D7DE"/>
            </w:tcBorders>
          </w:tcPr>
          <w:p>
            <w:pPr>
              <w:jc w:val="left"/>
            </w:pPr>
            <w:r/>
            <w:r>
              <w:rPr>
                <w:rFonts w:ascii="Calibri" w:hAnsi="Calibri" w:eastAsia="Calibri"/>
                <w:b w:val="0"/>
                <w:i w:val="0"/>
                <w:color w:val="2D2D2D"/>
                <w:sz w:val="20"/>
              </w:rPr>
              <w:t>/docs</w:t>
            </w:r>
          </w:p>
        </w:tc>
        <w:tc>
          <w:tcPr>
            <w:tcW w:type="dxa" w:w="3137"/>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GET</w:t>
            </w:r>
          </w:p>
        </w:tc>
        <w:tc>
          <w:tcPr>
            <w:tcW w:type="dxa" w:w="3137"/>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OpenAPI / Swagger UI</w:t>
            </w:r>
          </w:p>
        </w:tc>
      </w:tr>
    </w:tbl>
    <w:p/>
    <w:p>
      <w:pPr>
        <w:spacing w:before="0" w:after="160" w:line="276" w:lineRule="auto"/>
        <w:jc w:val="both"/>
      </w:pPr>
      <w:r>
        <w:rPr>
          <w:rFonts w:ascii="Calibri" w:hAnsi="Calibri" w:eastAsia="Calibri"/>
          <w:b w:val="0"/>
          <w:i w:val="0"/>
          <w:color w:val="2D2D2D"/>
          <w:sz w:val="22"/>
        </w:rPr>
        <w:t>A smoke-test of the serialised pipeline on the example employee above returns attrition = No with P(leave) = 0.487. The same payload is what the UI sends.</w:t>
      </w:r>
    </w:p>
    <w:p>
      <w:pPr>
        <w:pBdr>
          <w:bottom w:val="single" w:sz="12" w:space="1" w:color="1F4E79"/>
        </w:pBdr>
        <w:spacing w:before="280" w:after="160" w:line="276" w:lineRule="auto"/>
      </w:pPr>
      <w:r>
        <w:rPr>
          <w:rFonts w:ascii="Calibri" w:hAnsi="Calibri" w:eastAsia="Calibri"/>
          <w:b/>
          <w:i w:val="0"/>
          <w:color w:val="1F4E79"/>
          <w:sz w:val="32"/>
        </w:rPr>
        <w:t>7. How to run</w:t>
      </w:r>
    </w:p>
    <w:p>
      <w:pPr>
        <w:spacing w:before="80" w:after="160" w:line="259" w:lineRule="auto"/>
        <w:shd w:fill="F4F6F8" w:val="clear"/>
      </w:pPr>
      <w:r>
        <w:rPr>
          <w:rFonts w:ascii="Consolas" w:hAnsi="Consolas" w:eastAsia="Consolas"/>
          <w:b w:val="0"/>
          <w:i w:val="0"/>
          <w:color w:val="1E1E1E"/>
          <w:sz w:val="18"/>
        </w:rPr>
        <w:t>cd week4-ai-project-deployment</w:t>
        <w:br/>
        <w:t>python3 train_model.py          # rebuild artefacts (optional)</w:t>
        <w:br/>
        <w:t>uvicorn app:app --host 0.0.0.0 --port 8000</w:t>
      </w:r>
    </w:p>
    <w:p>
      <w:pPr>
        <w:spacing w:before="0" w:after="160" w:line="276" w:lineRule="auto"/>
        <w:jc w:val="both"/>
      </w:pPr>
      <w:r>
        <w:rPr>
          <w:rFonts w:ascii="Calibri" w:hAnsi="Calibri" w:eastAsia="Calibri"/>
          <w:b w:val="0"/>
          <w:i w:val="0"/>
          <w:color w:val="2D2D2D"/>
          <w:sz w:val="22"/>
        </w:rPr>
        <w:t>Open the printed origin in a browser. The home page is the predictor; /presentation is the slide deck; /docs is the interactive API. No extra frontend build step is required — FastAPI serves the HTML directly.</w:t>
      </w:r>
    </w:p>
    <w:p>
      <w:pPr>
        <w:pBdr>
          <w:bottom w:val="single" w:sz="12" w:space="1" w:color="1F4E79"/>
        </w:pBdr>
        <w:spacing w:before="280" w:after="160" w:line="276" w:lineRule="auto"/>
      </w:pPr>
      <w:r>
        <w:rPr>
          <w:rFonts w:ascii="Calibri" w:hAnsi="Calibri" w:eastAsia="Calibri"/>
          <w:b/>
          <w:i w:val="0"/>
          <w:color w:val="1F4E79"/>
          <w:sz w:val="32"/>
        </w:rPr>
        <w:t>8. Findings and limitations</w:t>
      </w:r>
    </w:p>
    <w:p>
      <w:pPr>
        <w:pStyle w:val="ListBullet"/>
        <w:spacing w:before="0" w:after="80" w:line="276" w:lineRule="auto"/>
      </w:pPr>
      <w:r>
        <w:rPr>
          <w:rFonts w:ascii="Calibri" w:hAnsi="Calibri" w:eastAsia="Calibri"/>
          <w:b w:val="0"/>
          <w:i w:val="0"/>
          <w:color w:val="2D2D2D"/>
          <w:sz w:val="22"/>
        </w:rPr>
        <w:t>The deployed pipeline scores 0.738 ROC-AUC and 37.0% F1 on a hold-out set it did not see during GridSearchCV.</w:t>
      </w:r>
    </w:p>
    <w:p>
      <w:pPr>
        <w:pStyle w:val="ListBullet"/>
        <w:spacing w:before="0" w:after="80" w:line="276" w:lineRule="auto"/>
      </w:pPr>
      <w:r>
        <w:rPr>
          <w:rFonts w:ascii="Calibri" w:hAnsi="Calibri" w:eastAsia="Calibri"/>
          <w:b w:val="0"/>
          <w:i w:val="0"/>
          <w:color w:val="2D2D2D"/>
          <w:sz w:val="22"/>
        </w:rPr>
        <w:t>Putting StandardScaler and OneHotEncoder inside the Pipeline is what makes deployment safe: the API cannot accidentally skip a step or use different dummy columns than training.</w:t>
      </w:r>
    </w:p>
    <w:p>
      <w:pPr>
        <w:pStyle w:val="ListBullet"/>
        <w:spacing w:before="0" w:after="80" w:line="276" w:lineRule="auto"/>
      </w:pPr>
      <w:r>
        <w:rPr>
          <w:rFonts w:ascii="Calibri" w:hAnsi="Calibri" w:eastAsia="Calibri"/>
          <w:b w:val="0"/>
          <w:i w:val="0"/>
          <w:color w:val="2D2D2D"/>
          <w:sz w:val="22"/>
        </w:rPr>
        <w:t>Joblib is the file the server loads; Pickle is saved alongside it to satisfy the serialisation requirement and to show the two APIs are interchangeable for this object.</w:t>
      </w:r>
    </w:p>
    <w:p>
      <w:pPr>
        <w:pStyle w:val="ListBullet"/>
        <w:spacing w:before="0" w:after="80" w:line="276" w:lineRule="auto"/>
      </w:pPr>
      <w:r>
        <w:rPr>
          <w:rFonts w:ascii="Calibri" w:hAnsi="Calibri" w:eastAsia="Calibri"/>
          <w:b w:val="0"/>
          <w:i w:val="0"/>
          <w:color w:val="2D2D2D"/>
          <w:sz w:val="22"/>
        </w:rPr>
        <w:t>This is a sample dataset with a known generating process. A production HR system would need real historical leavers, monitoring for drift, and an explicit discussion of fairness (gender and city are inputs).</w:t>
      </w:r>
    </w:p>
    <w:p>
      <w:pPr>
        <w:pStyle w:val="ListBullet"/>
        <w:spacing w:before="0" w:after="80" w:line="276" w:lineRule="auto"/>
      </w:pPr>
      <w:r>
        <w:rPr>
          <w:rFonts w:ascii="Calibri" w:hAnsi="Calibri" w:eastAsia="Calibri"/>
          <w:b w:val="0"/>
          <w:i w:val="0"/>
          <w:color w:val="2D2D2D"/>
          <w:sz w:val="22"/>
        </w:rPr>
        <w:t>The UI is intentionally small — one form, one prediction — so the deployment lesson is not buried under frontend work.</w:t>
      </w:r>
    </w:p>
    <w:p>
      <w:pPr>
        <w:pBdr>
          <w:bottom w:val="single" w:sz="12" w:space="1" w:color="1F4E79"/>
        </w:pBdr>
        <w:spacing w:before="280" w:after="160" w:line="276" w:lineRule="auto"/>
      </w:pPr>
      <w:r>
        <w:rPr>
          <w:rFonts w:ascii="Calibri" w:hAnsi="Calibri" w:eastAsia="Calibri"/>
          <w:b/>
          <w:i w:val="0"/>
          <w:color w:val="1F4E79"/>
          <w:sz w:val="32"/>
        </w:rPr>
        <w:t>9. Conclusion</w:t>
      </w:r>
    </w:p>
    <w:p>
      <w:pPr>
        <w:spacing w:before="0" w:after="160" w:line="276" w:lineRule="auto"/>
        <w:jc w:val="both"/>
      </w:pPr>
      <w:r>
        <w:rPr>
          <w:rFonts w:ascii="Calibri" w:hAnsi="Calibri" w:eastAsia="Calibri"/>
          <w:b w:val="0"/>
          <w:i w:val="0"/>
          <w:color w:val="2D2D2D"/>
          <w:sz w:val="22"/>
        </w:rPr>
        <w:t>The capstone is an end-to-end attrition-risk application: a documented dataset, a preprocessing-and-model Pipeline selected by cross-validated F1, artefacts written with Joblib and Pickle, and a FastAPI service that turns those artefacts into both a JSON prediction API and a usable web page. Together with Weeks 1–3 (cleaning, supervised models, clustering and evaluation) this is a complete path from a messy table of employees to a running machine-learning product. All metrics, figures and the serialised files in this submission were produced by train_model.py; the running application is app.py.</w:t>
      </w:r>
    </w:p>
    <w:sectPr w:rsidR="00FC693F" w:rsidRPr="0006063C" w:rsidSect="00034616">
      <w:headerReference w:type="default" r:id="rId9"/>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55555"/>
        <w:sz w:val="16"/>
      </w:rPr>
      <w:t xml:space="preserve">Vutukuri Yaswanth Ganesh Kumar  ·  AI Project Deployment &amp; Capstone  ·  Page </w:t>
    </w:r>
    <w:r>
      <w:fldChar w:fldCharType="begin"/>
      <w:instrText xml:space="preserve"> PAGE </w:instrText>
      <w:fldChar w:fldCharType="end"/>
    </w:r>
    <w:r>
      <w:rPr>
        <w:rFonts w:ascii="Calibri" w:hAnsi="Calibri" w:eastAsia="Calibri"/>
        <w:b w:val="0"/>
        <w:i w:val="0"/>
        <w:color w:val="555555"/>
        <w:sz w:val="16"/>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i/>
        <w:color w:val="2E75B6"/>
        <w:sz w:val="18"/>
      </w:rPr>
      <w:t>Week 4 Task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2D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