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 w:eastAsia="Calibri"/>
          <w:b/>
          <w:i w:val="0"/>
          <w:color w:val="1F4E79"/>
          <w:sz w:val="52"/>
        </w:rPr>
        <w:t>AI Project Deployment &amp; Capstone</w:t>
      </w:r>
    </w:p>
    <w:p>
      <w:pPr>
        <w:pBdr>
          <w:bottom w:val="single" w:sz="12" w:space="1" w:color="1F4E79"/>
        </w:pBdr>
        <w:spacing w:before="0" w:after="320" w:line="276" w:lineRule="auto"/>
      </w:pPr>
      <w:r>
        <w:rPr>
          <w:rFonts w:ascii="Calibri" w:hAnsi="Calibri" w:eastAsia="Calibri"/>
          <w:b w:val="0"/>
          <w:i/>
          <w:color w:val="2E75B6"/>
          <w:sz w:val="28"/>
        </w:rPr>
        <w:t>Week 4 Task Report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F4E79"/>
                <w:sz w:val="22"/>
              </w:rPr>
              <w:t>Submitted by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2"/>
              </w:rPr>
              <w:t>Vutukuri Yaswanth Ganesh Kumar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F4E79"/>
                <w:sz w:val="22"/>
              </w:rPr>
              <w:t>Date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2"/>
              </w:rPr>
              <w:t>11 September 2026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F4E79"/>
                <w:sz w:val="22"/>
              </w:rPr>
              <w:t>Task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2"/>
              </w:rPr>
              <w:t>Week 4 — AI Project Deployment &amp; Capstone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1F4E79"/>
                <w:sz w:val="22"/>
              </w:rPr>
              <w:t>Tools Used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2"/>
              </w:rPr>
              <w:t>Python, Pandas, scikit-learn, Joblib, Pickle, FastAPI, Uvicorn, Pydantic</w:t>
            </w:r>
          </w:p>
        </w:tc>
      </w:tr>
    </w:tbl>
    <w:p/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1. Objective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Week 4 is the capstone: take the attrition problem from Weeks 2–3 and ship it as an application. The deliverable is a fitted scikit-learn Pipeline (preprocessing and model together), written to disk with both Joblib and Pickle, loaded by a FastAPI service that exposes POST /predict, and wrapped in a small HR web UI. This report is the project documentation. An HTML slide deck at /presentation is the presentation. Weeks 1–2 were marked down for thin explanations and for skipping preprocessing and hyperparameter detail; those three gaps are written out here with worked rows, scaler arithmetic, a 12-point grid, a confusion-matrix calculation, and three live API examples.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2. Project architecture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week4-ai-project-deployment/ is a self-contained product. train_model.py builds the 800-row sample, fits a ColumnTransformer + Random Forest Pipeline, runs GridSearchCV, writes artefacts and charts. app.py loads models/attrition_pipeline.joblib once at startup and serves GET / (UI), GET /presentation, GET /health, GET /metadata, POST /predict and the generated OpenAPI page at /docs. Uvicorn binds 0.0.0.0 so a preview proxy can reach the process. The browser never calls localhost — every fetch is a relative /predict on the same origin.</w:t>
      </w:r>
    </w:p>
    <w:p>
      <w:pPr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52160" cy="1835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835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0"/>
        </w:rPr>
        <w:t>Figure 1. CSV → Pipeline → Joblib/Pickle → FastAPI → UI and JSON.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1. Repository layout for the deployed application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Path</w:t>
            </w:r>
          </w:p>
        </w:tc>
        <w:tc>
          <w:tcPr>
            <w:tcW w:type="dxa" w:w="4706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train_model.py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Data, training, GridSearchCV, serialisation, charts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app.py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FastAPI process: load artefact, validate, predict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models/attrition_pipeline.joblib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What the server loads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models/attrition_pipeline.pkl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Same object via pickle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models/metadata.json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Feature list, metrics, example payload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templates/index.html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HR form (relative /predict)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templates/presentation.html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Eight-slide capstone deck</w:t>
            </w:r>
          </w:p>
        </w:tc>
      </w:tr>
    </w:tbl>
    <w:p/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3. Data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The training file has 800 synthetic employees, the same schema as the rest of the internship. 195 left (24.4%) and 605 stayed. Attrition is generated from performance, tenure and pay plus noise, so a tree ensemble has a real pattern to recover — but the leave class is the minority, so a dummy that always predicts Stay already scores 75.6% accuracy. That dummy is the baseline the deployed model has to beat on recall and F1, not on accuracy.</w:t>
      </w:r>
    </w:p>
    <w:p>
      <w:pPr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1429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0"/>
        </w:rPr>
        <w:t>Figure 2. Stay vs leave counts. Accuracy without a model is already ~75.6%.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2. Data splits. Stratify=y keeps 24.4% attrition in both sides.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Split</w:t>
            </w:r>
          </w:p>
        </w:tc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Rows</w:t>
            </w:r>
          </w:p>
        </w:tc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How it is used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Full sample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800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Generated once, seed 42</w:t>
            </w:r>
          </w:p>
        </w:tc>
      </w:tr>
      <w:tr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Training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640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Fit ColumnTransformer + GridSearchCV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Hold-out test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160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Quoted metrics; never used to pick hyperparameters</w:t>
            </w:r>
          </w:p>
        </w:tc>
      </w:tr>
    </w:tbl>
    <w:p/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4. Preprocessing — inside the Pipeline, with numbers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Week 2's missing-preprocessing comment is the reason this section is long. Preprocessing is not a notebook cell that writes a second CSV. It is a ColumnTransformer stored inside the same object as the forest, so the API cannot skip a step or invent different dummy columns from the ones the trees were split on.</w:t>
      </w:r>
    </w:p>
    <w:p>
      <w:pPr>
        <w:spacing w:before="80" w:after="160" w:line="259" w:lineRule="auto"/>
        <w:shd w:fill="F4F6F8" w:val="clear"/>
      </w:pPr>
      <w:r>
        <w:rPr>
          <w:rFonts w:ascii="Consolas" w:hAnsi="Consolas" w:eastAsia="Consolas"/>
          <w:b w:val="0"/>
          <w:i w:val="0"/>
          <w:color w:val="1E1E1E"/>
          <w:sz w:val="18"/>
        </w:rPr>
        <w:t>numeric = ['age', 'years_experience', 'monthly_salary', 'performance_score']</w:t>
        <w:br/>
        <w:t>categorical = ['gender', 'department', 'city']</w:t>
        <w:br/>
        <w:br/>
        <w:t>preprocess = ColumnTransformer([</w:t>
        <w:br/>
        <w:t xml:space="preserve">    ('num', StandardScaler(), numeric),</w:t>
        <w:br/>
        <w:t xml:space="preserve">    ('cat', OneHotEncoder(handle_unknown='ignore'), categorical),</w:t>
        <w:br/>
        <w:t>])</w:t>
        <w:br/>
        <w:t>pipe = Pipeline([</w:t>
        <w:br/>
        <w:t xml:space="preserve">    ('preprocess', preprocess),</w:t>
        <w:br/>
        <w:t xml:space="preserve">    ('clf', RandomForestClassifier(random_state=42)),</w:t>
        <w:br/>
        <w:t>])</w:t>
      </w:r>
    </w:p>
    <w:p>
      <w:pPr>
        <w:spacing w:before="200" w:after="160" w:line="276" w:lineRule="auto"/>
      </w:pPr>
      <w:r>
        <w:rPr>
          <w:rFonts w:ascii="Calibri" w:hAnsi="Calibri" w:eastAsia="Calibri"/>
          <w:b/>
          <w:i w:val="0"/>
          <w:color w:val="1F4E79"/>
          <w:sz w:val="26"/>
        </w:rPr>
        <w:t>4.1 Numeric columns — StandardScaler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Each numeric feature is transformed as z = (x − mean_train) / std_train. The means and scales below were learned from the 640 training rows only. The test set and every live API request reuse these frozen numbers; they are not recomputed on the incoming row (that would make a single request's z-score depend on who else happened to be scored in the same batch).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3. Fitted StandardScaler statistics stored inside the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Train mean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Train std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age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40.92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11.14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Career stage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years_experience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11.11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7.43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Tenure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monthly_salary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52160.8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9570.87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Pay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performance_score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2.98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1.43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Last review (1–5)</w:t>
            </w:r>
          </w:p>
        </w:tc>
      </w:tr>
    </w:tbl>
    <w:p/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Worked request. The UI default employee is age 29, 3 years' experience, salary ₹38,000, performance 2. Age becomes (29 − 40.92) / 11.14 = -1.07. Trees do not need scaling to split, but keeping the scaler in the Pipeline means a future swap to logistic regression or KNN does not require a new deployment path — and it is the preprocessing discipline the evaluator asked for.</w:t>
      </w:r>
    </w:p>
    <w:p>
      <w:pPr>
        <w:spacing w:before="200" w:after="160" w:line="276" w:lineRule="auto"/>
      </w:pPr>
      <w:r>
        <w:rPr>
          <w:rFonts w:ascii="Calibri" w:hAnsi="Calibri" w:eastAsia="Calibri"/>
          <w:b/>
          <w:i w:val="0"/>
          <w:color w:val="1F4E79"/>
          <w:sz w:val="26"/>
        </w:rPr>
        <w:t>4.2 Categorical columns — OneHotEncoder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Gender, department and city become 12 dummy columns. handle_unknown='ignore' means a new city name produces an all-zero city block instead of crashing the API with a 500. drop_first is not used here: the forest does not suffer from collinear dummies, and keeping every level makes the feature-importance names easier to read (department_IT rather than 'not HR, not Finance, …'). After the transformer, one request is a dense vector of 16 numbers — 4 scaled numerics plus the dummies.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4. ColumnTransformer output for one POST /predict body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Transformed feature</w:t>
            </w:r>
          </w:p>
        </w:tc>
        <w:tc>
          <w:tcPr>
            <w:tcW w:type="dxa" w:w="4706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Value for the UI default employee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age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-1.07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years_experience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-1.091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monthly_salary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-1.48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performance_score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-0.685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gender_Female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1.0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gender_Male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department_Finance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department_HR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department_IT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department_Marketing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department_Sales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1.0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city_Chicago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city_Houston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city_Los Angeles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  <w:tr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city_New York</w:t>
            </w:r>
          </w:p>
        </w:tc>
        <w:tc>
          <w:tcPr>
            <w:tcW w:type="dxa" w:w="4706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1.0</w:t>
            </w:r>
          </w:p>
        </w:tc>
      </w:tr>
      <w:tr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city_Phoenix</w:t>
            </w:r>
          </w:p>
        </w:tc>
        <w:tc>
          <w:tcPr>
            <w:tcW w:type="dxa" w:w="4706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</w:tbl>
    <w:p/>
    <w:p>
      <w:pPr>
        <w:spacing w:before="200" w:after="160" w:line="276" w:lineRule="auto"/>
      </w:pPr>
      <w:r>
        <w:rPr>
          <w:rFonts w:ascii="Calibri" w:hAnsi="Calibri" w:eastAsia="Calibri"/>
          <w:b/>
          <w:i w:val="0"/>
          <w:color w:val="1F4E79"/>
          <w:sz w:val="26"/>
        </w:rPr>
        <w:t>4.3 What is not preprocessed, and why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No imputation — the generated file has no missing values. A production pipeline would add SimpleImputer inside the same ColumnTransformer so a blank salary does not 500 the API.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No outlier clip on salary — Random Forest splits are robust to extreme pay; an IQR clip like Week 1 would hide genuine high-performer signal.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No resampling (SMOTE, etc.) — class imbalance is handled at decision time (risk bands) rather than by fabricating leavers.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Identifiers are not in the schema. Nothing like EmployeeID can leak into a split.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5. Training, hyperparameter tuning, testing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Random Forest is the model that ships because it won or tied Weeks 2 and 3 on this schema and because a Pipeline of trees serialises cleanly. Hyperparameters are not copied from Week 3. They are re-searched on this week's 640-row training split, scoring F1 under stratified 5-fold CV.</w:t>
      </w:r>
    </w:p>
    <w:p>
      <w:pPr>
        <w:spacing w:before="200" w:after="160" w:line="276" w:lineRule="auto"/>
      </w:pPr>
      <w:r>
        <w:rPr>
          <w:rFonts w:ascii="Calibri" w:hAnsi="Calibri" w:eastAsia="Calibri"/>
          <w:b/>
          <w:i w:val="0"/>
          <w:color w:val="1F4E79"/>
          <w:sz w:val="26"/>
        </w:rPr>
        <w:t>5.1 What each hyperparameter does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n_estimators {150, 300} — number of trees. 300 costs a larger Joblib file (see §6) but averages more.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max_depth {6, 10, None} — 6 is the Week 2 default (regularised); None lets trees grow until leaves are pure.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min_samples_split {2, 6} — 2 is unrestricted splits; 6 is mild regularisation.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max_features {sqrt} — classification default, held fixed so the grid stays 2×3×2×1 = 12 configurations × 5 folds = 60 fits.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F1 is the scoring key because accuracy would have selected a Stay-always behaviour. The 160-row test set is locked until the search finishes.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5. GridSearchCV on the deployed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Hyperparameter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Grid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Winner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Insight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n_estimators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150, 300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300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More trees won — extra averaging helped minority-class F1 on the folds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max_depth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6, 10, None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None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Unrestricted depth; 640 rows are enough that the forest wanted more leaf purity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min_samples_split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2, 6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Default; extra regularisation did not lift CV F1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max_features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sqrt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sqrt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Held constant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Best CV F1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—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25.5%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Train-fold score, not the test number</w:t>
            </w:r>
          </w:p>
        </w:tc>
      </w:tr>
    </w:tbl>
    <w:p/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CV F1 of 25.5% looks low next to 78.8% accuracy. That is the point of the metric: the leave class is 24.4% of the file, noisy, and hard. A 25% CV F1 is a model that has some ranking skill (confirmed by ROC-AUC below) but should not be blindly trusted at a 0.5 cutoff — which is why the API returns a probability and a band, not only Yes/No.</w:t>
      </w:r>
    </w:p>
    <w:p>
      <w:pPr>
        <w:spacing w:before="200" w:after="160" w:line="276" w:lineRule="auto"/>
      </w:pPr>
      <w:r>
        <w:rPr>
          <w:rFonts w:ascii="Calibri" w:hAnsi="Calibri" w:eastAsia="Calibri"/>
          <w:b/>
          <w:i w:val="0"/>
          <w:color w:val="1F4E79"/>
          <w:sz w:val="26"/>
        </w:rPr>
        <w:t>5.2 Hold-out test, worked from the confusion matrix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The 160-row test set produced TN=116, FP=5, FN=29, TP=10.</w:t>
      </w:r>
    </w:p>
    <w:p>
      <w:pPr>
        <w:spacing w:before="80" w:after="160" w:line="259" w:lineRule="auto"/>
        <w:shd w:fill="F4F6F8" w:val="clear"/>
      </w:pPr>
      <w:r>
        <w:rPr>
          <w:rFonts w:ascii="Consolas" w:hAnsi="Consolas" w:eastAsia="Consolas"/>
          <w:b w:val="0"/>
          <w:i w:val="0"/>
          <w:color w:val="1E1E1E"/>
          <w:sz w:val="18"/>
        </w:rPr>
        <w:t>accuracy  = (TP+TN)/n      = (10+116)/160 = 78.8%</w:t>
        <w:br/>
        <w:t>precision = TP/(TP+FP)     = 10/(10+5)      = 66.7%</w:t>
        <w:br/>
        <w:t>recall    = TP/(TP+FN)     = 10/(10+29)     = 25.6%</w:t>
        <w:br/>
        <w:t>F1        = 2PR/(P+R)      = 37.0%</w:t>
        <w:br/>
        <w:t>ROC-AUC   = ranking skill  = 0.738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6. Test metrics of the serialised Pipeline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Metric</w:t>
            </w:r>
          </w:p>
        </w:tc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Hold-out</w:t>
            </w:r>
          </w:p>
        </w:tc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What it means for HR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Accuracy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78.8%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Looks strong, but a Stay-always dummy already gets ~75.6%</w:t>
            </w:r>
          </w:p>
        </w:tc>
      </w:tr>
      <w:tr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Precision (leave)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66.7%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Of 15 flagged people, 10 really left — 5 wasted conversations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Recall (leave)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25.6%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Of 39 real leavers, 29 were missed at threshold 0.5</w:t>
            </w:r>
          </w:p>
        </w:tc>
      </w:tr>
      <w:tr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F1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37.0%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Balances the two; this is what GridSearchCV maximised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ROC-AUC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0.738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0.74 means the forest ranks a random leaver above a random stayer 74% of the time</w:t>
            </w:r>
          </w:p>
        </w:tc>
      </w:tr>
    </w:tbl>
    <w:p/>
    <w:p>
      <w:pPr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7970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97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0"/>
        </w:rPr>
        <w:t>Figure 3. Hold-out confusion matrix at the 0.5 class cutoff the API uses for attrition=Yes/No.</w:t>
      </w:r>
    </w:p>
    <w:p>
      <w:pPr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0"/>
        </w:rPr>
        <w:t>Figure 4. ROC of the deployed Pipeline. Threshold-independent ranking is stronger than the 0.5 F1 suggests.</w:t>
      </w:r>
    </w:p>
    <w:p>
      <w:pPr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897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0"/>
        </w:rPr>
        <w:t>Figure 5. Importances: salary, age, tenure, performance dominate; city/department are small.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The importance order matches the generating process, the same sanity check used on Linear Regression coefficients in Week 2 and on the Week 3 forest. City and gender still appear with small weights; a production fairness review would test whether dropping them changes recall materially before they are allowed to influence a retention decision.</w:t>
      </w:r>
    </w:p>
    <w:p>
      <w:pPr>
        <w:spacing w:before="200" w:after="160" w:line="276" w:lineRule="auto"/>
      </w:pPr>
      <w:r>
        <w:rPr>
          <w:rFonts w:ascii="Calibri" w:hAnsi="Calibri" w:eastAsia="Calibri"/>
          <w:b/>
          <w:i w:val="0"/>
          <w:color w:val="1F4E79"/>
          <w:sz w:val="26"/>
        </w:rPr>
        <w:t>5.3 Thresholds and risk bands — the lever the API actually exposes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Recall of 25.6% at 0.5 is the same problem Weeks 2 and 3 had. Rather than pretend another grid will fix it, the application treats 0.5 as one cutoff among many. The class label attrition=Yes uses 0.5; the risk band uses 0.30 and 0.55 so a caller who cares about FN can act on Medium without waiting for Yes.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7. Same serialised model, only the cutoff moves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Threshold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Precision %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Recall %</w:t>
            </w:r>
          </w:p>
        </w:tc>
        <w:tc>
          <w:tcPr>
            <w:tcW w:type="dxa" w:w="2353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F1 %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0.2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38.2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74.4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50.4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0.25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40.0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61.5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48.5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0.3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43.1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56.4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48.9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0.35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43.2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48.7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45.8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0.4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54.8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43.6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48.6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0.45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65.2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38.5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48.4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0.5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66.7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25.6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37.0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0.55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85.7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15.4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26.1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0.6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100.0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7.7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14.3</w:t>
            </w:r>
          </w:p>
        </w:tc>
      </w:tr>
      <w:tr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0.65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100.0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2.6</w:t>
            </w:r>
          </w:p>
        </w:tc>
        <w:tc>
          <w:tcPr>
            <w:tcW w:type="dxa" w:w="2353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5.0</w:t>
            </w:r>
          </w:p>
        </w:tc>
      </w:tr>
      <w:tr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0.7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  <w:tc>
          <w:tcPr>
            <w:tcW w:type="dxa" w:w="2353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0.0</w:t>
            </w:r>
          </w:p>
        </w:tc>
      </w:tr>
    </w:tbl>
    <w:p/>
    <w:p>
      <w:pPr>
        <w:spacing w:before="12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69280" cy="36077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swee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07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 w:line="276" w:lineRule="auto"/>
        <w:jc w:val="center"/>
      </w:pPr>
      <w:r>
        <w:rPr>
          <w:rFonts w:ascii="Calibri" w:hAnsi="Calibri" w:eastAsia="Calibri"/>
          <w:b w:val="0"/>
          <w:i/>
          <w:color w:val="555555"/>
          <w:sz w:val="20"/>
        </w:rPr>
        <w:t>Figure 6. Precision/recall/F1 vs threshold. Dotted lines are the Medium (0.30) and High (0.55) risk-band edges.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Lowering the cutoff from 0.5 toward 0.3 roughly doubles recall and spends precision to do it. That is the conversation an HR lead should have — 'how many false alarms will we tolerate to catch another ten leavers?' — and it is a one-line change in app.py, not a retrain.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6. Serialisation — Joblib and Pickle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A fitted Pipeline is a Python object: the scaler means, the one-hot category lists, and ~300 trees. Serialisation writes that object to disk so Uvicorn does not retrain on every boot.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Joblib — models/attrition_pipeline.joblib (6.93 MB). Efficient for NumPy arrays of trees. This is what get_model() loads.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Pickle — models/attrition_pipeline.pkl (6.91 MB). Standard-library equivalent of the same object, submitted because the brief asks for both.</w:t>
      </w:r>
    </w:p>
    <w:p>
      <w:pPr>
        <w:spacing w:before="80" w:after="160" w:line="259" w:lineRule="auto"/>
        <w:shd w:fill="F4F6F8" w:val="clear"/>
      </w:pPr>
      <w:r>
        <w:rPr>
          <w:rFonts w:ascii="Consolas" w:hAnsi="Consolas" w:eastAsia="Consolas"/>
          <w:b w:val="0"/>
          <w:i w:val="0"/>
          <w:color w:val="1E1E1E"/>
          <w:sz w:val="18"/>
        </w:rPr>
        <w:t>import joblib, pickle</w:t>
        <w:br/>
        <w:t>joblib.dump(best, 'models/attrition_pipeline.joblib')</w:t>
        <w:br/>
        <w:t>pickle.dump(best, open('models/attrition_pipeline.pkl', 'wb'))</w:t>
        <w:br/>
        <w:br/>
        <w:t># app.py startup (once per process)</w:t>
        <w:br/>
        <w:t>model = joblib.load('models/attrition_pipeline.joblib')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Caveats that belong in a capstone, not a footnote. (1) Both formats are tied to the sklearn/numpy version that wrote them — bumping scikit-learn without retraining can fail on load. (2) Loading a pickle executes bytecode; only files this repo wrote are loaded. (3) metadata.json sits beside them so GET /metadata can describe features and test metrics without unpickling.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7. Prediction API and three worked requests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FastAPI over Flask: Pydantic rejects a performance_score of 9 with HTTP 422 before the forest runs, and /docs is free. CORS allows any origin; credentials are off, which is the combination that is actually valid with allow_origins=['*'].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8. API surface of app.py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Endpoint</w:t>
            </w:r>
          </w:p>
        </w:tc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Method</w:t>
            </w:r>
          </w:p>
        </w:tc>
        <w:tc>
          <w:tcPr>
            <w:tcW w:type="dxa" w:w="3137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/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HR web UI</w:t>
            </w:r>
          </w:p>
        </w:tc>
      </w:tr>
      <w:tr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/presentation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Capstone slides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/health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Liveness + model file present</w:t>
            </w:r>
          </w:p>
        </w:tc>
      </w:tr>
      <w:tr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/metadata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Features, metrics, serialisation paths</w:t>
            </w:r>
          </w:p>
        </w:tc>
      </w:tr>
      <w:tr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/predict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POST</w:t>
            </w:r>
          </w:p>
        </w:tc>
        <w:tc>
          <w:tcPr>
            <w:tcW w:type="dxa" w:w="3137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Score one employee</w:t>
            </w:r>
          </w:p>
        </w:tc>
      </w:tr>
      <w:tr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/docs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GET</w:t>
            </w:r>
          </w:p>
        </w:tc>
        <w:tc>
          <w:tcPr>
            <w:tcW w:type="dxa" w:w="3137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OpenAPI / Swagger</w:t>
            </w:r>
          </w:p>
        </w:tc>
      </w:tr>
    </w:tbl>
    <w:p/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Three requests through the serialised Pipeline (the same code path as POST /predict):</w:t>
      </w:r>
    </w:p>
    <w:p>
      <w:pPr>
        <w:spacing w:before="160" w:after="80" w:line="276" w:lineRule="auto"/>
      </w:pPr>
      <w:r>
        <w:rPr>
          <w:rFonts w:ascii="Calibri" w:hAnsi="Calibri" w:eastAsia="Calibri"/>
          <w:b w:val="0"/>
          <w:i/>
          <w:color w:val="555555"/>
          <w:sz w:val="20"/>
        </w:rPr>
        <w:t>Table 9. Worked predictions from the Joblib artefact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Profile</w:t>
            </w:r>
          </w:p>
        </w:tc>
        <w:tc>
          <w:tcPr>
            <w:tcW w:type="dxa" w:w="1882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Key fields</w:t>
            </w:r>
          </w:p>
        </w:tc>
        <w:tc>
          <w:tcPr>
            <w:tcW w:type="dxa" w:w="1882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P(leave)</w:t>
            </w:r>
          </w:p>
        </w:tc>
        <w:tc>
          <w:tcPr>
            <w:tcW w:type="dxa" w:w="1882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Label</w:t>
            </w:r>
          </w:p>
        </w:tc>
        <w:tc>
          <w:tcPr>
            <w:tcW w:type="dxa" w:w="1882"/>
            <w:shd w:fill="1F4E79" w:val="clear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Risk band</w:t>
            </w:r>
          </w:p>
        </w:tc>
      </w:tr>
      <w:tr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Junior, low performance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age 24, 1 yrs, ₹28,000, perf 1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0.493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No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Medium</w:t>
            </w:r>
          </w:p>
        </w:tc>
      </w:tr>
      <w:tr>
        <w:tc>
          <w:tcPr>
            <w:tcW w:type="dxa" w:w="1882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UI default example</w:t>
            </w:r>
          </w:p>
        </w:tc>
        <w:tc>
          <w:tcPr>
            <w:tcW w:type="dxa" w:w="1882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age 29, 3 yrs, ₹38,000, perf 2</w:t>
            </w:r>
          </w:p>
        </w:tc>
        <w:tc>
          <w:tcPr>
            <w:tcW w:type="dxa" w:w="1882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0.487</w:t>
            </w:r>
          </w:p>
        </w:tc>
        <w:tc>
          <w:tcPr>
            <w:tcW w:type="dxa" w:w="1882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No</w:t>
            </w:r>
          </w:p>
        </w:tc>
        <w:tc>
          <w:tcPr>
            <w:tcW w:type="dxa" w:w="1882"/>
            <w:shd w:fill="EAF1F8" w:val="clear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Medium</w:t>
            </w:r>
          </w:p>
        </w:tc>
      </w:tr>
      <w:tr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Senior high performer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age 48, 22 yrs, ₹92,000, perf 5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0.127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No</w:t>
            </w:r>
          </w:p>
        </w:tc>
        <w:tc>
          <w:tcPr>
            <w:tcW w:type="dxa" w:w="1882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</w:tcBorders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2D2D2D"/>
                <w:sz w:val="20"/>
              </w:rPr>
              <w:t>Low</w:t>
            </w:r>
          </w:p>
        </w:tc>
      </w:tr>
    </w:tbl>
    <w:p/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The junior low-performer sits in a higher band than the senior high-performer, which is the direction the generating process promised. The UI default (0.487 probability, band Medium) is deliberately near the Medium boundary so a reviewer can see the band move by editing one field. Response body:</w:t>
      </w:r>
    </w:p>
    <w:p>
      <w:pPr>
        <w:spacing w:before="80" w:after="160" w:line="259" w:lineRule="auto"/>
        <w:shd w:fill="F4F6F8" w:val="clear"/>
      </w:pPr>
      <w:r>
        <w:rPr>
          <w:rFonts w:ascii="Consolas" w:hAnsi="Consolas" w:eastAsia="Consolas"/>
          <w:b w:val="0"/>
          <w:i w:val="0"/>
          <w:color w:val="1E1E1E"/>
          <w:sz w:val="18"/>
        </w:rPr>
        <w:t>{</w:t>
        <w:br/>
        <w:t xml:space="preserve">  "attrition": "Yes" | "No",          // 0.5 cutoff</w:t>
        <w:br/>
        <w:t xml:space="preserve">  "probability_leave": 0.0-1.0,       // raw forest vote share</w:t>
        <w:br/>
        <w:t xml:space="preserve">  "risk_level": "Low" | "Medium" | "High",  // 0.30 / 0.55</w:t>
        <w:br/>
        <w:t xml:space="preserve">  "message": "recommended next step"</w:t>
        <w:br/>
        <w:t>}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8. How to run</w:t>
      </w:r>
    </w:p>
    <w:p>
      <w:pPr>
        <w:spacing w:before="80" w:after="160" w:line="259" w:lineRule="auto"/>
        <w:shd w:fill="F4F6F8" w:val="clear"/>
      </w:pPr>
      <w:r>
        <w:rPr>
          <w:rFonts w:ascii="Consolas" w:hAnsi="Consolas" w:eastAsia="Consolas"/>
          <w:b w:val="0"/>
          <w:i w:val="0"/>
          <w:color w:val="1E1E1E"/>
          <w:sz w:val="18"/>
        </w:rPr>
        <w:t>cd week4-ai-project-deployment</w:t>
        <w:br/>
        <w:t>python3 train_model.py                 # optional rebuild</w:t>
        <w:br/>
        <w:t>uvicorn app:app --host 0.0.0.0 --port 8000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Open / for the form, /presentation for the deck, /docs to POST interactively. There is no frontend build. Bind address 0.0.0.0 is required off localhost; 127.0.0.1 would make the live preview unreachable.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9. Findings, limitations, next steps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Deployed test scores: accuracy 78.8%, precision 66.7%, recall 25.6%, F1 37.0%, ROC-AUC 0.738.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The Pipeline is the deployment unit. Scaling and one-hot statistics travel with the trees, which is the preprocessing story Week 2 was missing.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Joblib (6.93 MB) is what the server loads; pickle (6.91 MB) is the same object in the standard library format.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Recall at 0.5 is weak because leavers are 24% of the file. The product response is risk bands and a threshold table, not a claim that GridSearchCV solved class imbalance.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Limitations: synthetic data; gender and city still in the model; no drift monitor; pickle/joblib are version-sensitive; a real HR tool needs an appeal path and a fairness review before scores affect anyone's career.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 w:val="0"/>
          <w:i w:val="0"/>
          <w:color w:val="2D2D2D"/>
          <w:sz w:val="22"/>
        </w:rPr>
        <w:t>Next: SimpleImputer in the ColumnTransformer, class_weight='balanced' as a second artefact, and logging of /predict inputs (without names) to watch for drift.</w:t>
      </w:r>
    </w:p>
    <w:p>
      <w:pPr>
        <w:pBdr>
          <w:bottom w:val="single" w:sz="12" w:space="1" w:color="1F4E79"/>
        </w:pBdr>
        <w:spacing w:before="280" w:after="160" w:line="276" w:lineRule="auto"/>
      </w:pPr>
      <w:r>
        <w:rPr>
          <w:rFonts w:ascii="Calibri" w:hAnsi="Calibri" w:eastAsia="Calibri"/>
          <w:b/>
          <w:i w:val="0"/>
          <w:color w:val="1F4E79"/>
          <w:sz w:val="32"/>
        </w:rPr>
        <w:t>10. Conclusion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2D2D2D"/>
          <w:sz w:val="22"/>
        </w:rPr>
        <w:t>The capstone is a running attrition-risk product: a documented sample, a ColumnTransformer + Random Forest Pipeline whose hyperparameters were searched on F1, artefacts in Joblib and Pickle, and a FastAPI service that turns those artefacts into JSON and a form. Preprocessing is no longer an implied notebook step — the scaler means, the dummy columns, and a worked request are in this report. Tuning is no longer an implied default — the grid, the winner, the hold-out confusion matrix, and the threshold sweep are in this report. Together with Weeks 1–3 this is a full path from a messy employee table to a service a person can call. train_model.py produced the artefacts; app.py is the service; /presentation is the slide deck that accompanies this document.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Vutukuri Yaswanth Ganesh Kumar  ·  AI Project Deployment &amp; Capstone  ·  Page </w:t>
    </w:r>
    <w: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6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/>
        <w:color w:val="2E75B6"/>
        <w:sz w:val="18"/>
      </w:rPr>
      <w:t>Week 4 Task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