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Technology Decision Record (TDR)</w:t>
      </w:r>
    </w:p>
    <w:p/>
    <w:p>
      <w:pPr>
        <w:pStyle w:val="Heading2"/>
        <w:spacing w:after="120" w:before="240"/>
      </w:pPr>
      <w:r>
        <w:t xml:space="preserve">1. HTTP Client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Kept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Rejected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Axios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node-fetch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keeping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Mature ecosystem; built-in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timeout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maxRedirects</w:t>
            </w:r>
            <w:r>
              <w:t xml:space="preserve">, and response interceptors; automatic JSON parsing; widely used in existing codebase.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rejecting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Native fetch in Node 18+ is faster and zero-dependency, but: (a) requires manual AbortController wiring for timeouts, (b) lacks built-in max-redirects control in older versions, (c) migration cost disproportionate to gain for current scale.</w:t>
            </w:r>
          </w:p>
        </w:tc>
      </w:tr>
    </w:tbl>
    <w:p/>
    <w:p/>
    <w:p>
      <w:pPr>
        <w:pStyle w:val="Heading2"/>
        <w:spacing w:after="120" w:before="240"/>
      </w:pPr>
      <w:r>
        <w:t xml:space="preserve">2. HTML Parser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Kept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Rejected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Cheerio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Playwright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keeping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Fast, lightweight, server-side jQuery-like API; sufficient for meta tags, headings, and asset counting; 500-burst concurrency is well within its throughput.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rejecting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Full browser automation; heavy memory footprint (~100MB+ per instance); slower; overkill since we don't need JavaScript execution or visual rendering.</w:t>
            </w:r>
          </w:p>
        </w:tc>
      </w:tr>
    </w:tbl>
    <w:p/>
    <w:p/>
    <w:p>
      <w:pPr>
        <w:pStyle w:val="Heading2"/>
        <w:spacing w:after="120" w:before="240"/>
      </w:pPr>
      <w:r>
        <w:t xml:space="preserve">3. Cache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Kept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Rejected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NodeCache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Redis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keeping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Zero external dependencies; in-process speed; LRU eviction built-in; TTL support; adequate for single-instance deployment at 10K/day.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rejecting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Adds operational complexity (separate service, connection pooling, serialization); cache misses are idempotent so cross-instance cache sharing isn't critical at current scale. Worth revisiting if multi-instance cache coordination becomes a requirement.</w:t>
            </w:r>
          </w:p>
        </w:tc>
      </w:tr>
    </w:tbl>
    <w:p/>
    <w:p/>
    <w:p>
      <w:pPr>
        <w:pStyle w:val="Heading2"/>
        <w:spacing w:after="120" w:before="240"/>
      </w:pPr>
      <w:r>
        <w:t xml:space="preserve">4. Rate Limiter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Kept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Rejected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express-rate-limit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Envoy/Istio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keeping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Runs in application layer; configurable sliding window; exposes standard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RateLimit-*</w:t>
            </w:r>
            <w:r>
              <w:t xml:space="preserve"> headers; easy to swap MemoryStore for Redis later.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rejecting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Infrastructure-level rate limiting adds complexity; requires sidecar injection or dedicated load balancer config; not justified until we have multiple services needing coordinated limits.</w:t>
            </w:r>
          </w:p>
        </w:tc>
      </w:tr>
    </w:tbl>
    <w:p/>
    <w:p/>
    <w:p>
      <w:pPr>
        <w:pStyle w:val="Heading2"/>
        <w:spacing w:after="120" w:before="240"/>
      </w:pPr>
      <w:r>
        <w:t xml:space="preserve">5. Logging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Kept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Rejected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Pino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Winston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keeping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Fastest Node.js JSON logger; low overhead at high request rates; native request ID child logger; output-friendly for log aggregators.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rejecting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Slower; more feature-bloat; requires custom formatters for JSON output; not necessary when Pino handles structured logging with better performance.</w:t>
            </w:r>
          </w:p>
        </w:tc>
      </w:tr>
    </w:tbl>
    <w:p/>
    <w:p/>
    <w:p>
      <w:pPr>
        <w:pStyle w:val="Heading2"/>
        <w:spacing w:after="120" w:before="240"/>
      </w:pPr>
      <w:r>
        <w:t xml:space="preserve">6. Hosting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Kept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Rejected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Render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AWS ECS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keeping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Single-command deploy; built-in HTTPS; auto-scaling configurable; cost-effective for current traffic; managed CI/CD webhooks.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rejecting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Superior scale and control, but: (a) requires VPC, ECR, ALB, IAM setup; (b) operational overhead significantly higher; (c) cost not justified at 10K/day. Revisit if traffic exceeds 100K/day or multi-region is needed.</w:t>
            </w:r>
          </w:p>
        </w:tc>
      </w:tr>
    </w:tbl>
    <w:p/>
    <w:p/>
    <w:p>
      <w:pPr>
        <w:pStyle w:val="Heading2"/>
        <w:spacing w:after="120" w:before="240"/>
      </w:pPr>
      <w:r>
        <w:t xml:space="preserve">7. Concurrency Control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Kept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Rejected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In-process Semaphore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BullMQ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keeping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Simple, zero-dependency; limits concurrent fetches to prevent upstream saturation; 500-request burst handled via timeout + fail-fast.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 for rejecting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Adds Redis dependency and queue management overhead; unnecessary complexity since fetch operations are idempotent and short-lived. Consider BullMQ if: (a) fetch times exceed 30s, (b) retry logic becomes critical, (c) multiple workers need distributed coordination.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2026-07-25T03:23:13.948Z</dcterms:created>
  <dcterms:modified xsi:type="dcterms:W3CDTF">2026-07-25T03:23:13.969Z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