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0"/>
        </w:rPr>
        <w:t>SELF-X: A Loss-Aware Self-Improving Agent for</w:t>
        <w:br/>
        <w:t>Safe Software-Defined Network Control</w:t>
      </w:r>
    </w:p>
    <w:p>
      <w:pPr>
        <w:spacing w:after="40"/>
        <w:jc w:val="center"/>
      </w:pPr>
      <w:r>
        <w:rPr>
          <w:rFonts w:ascii="Times New Roman" w:hAnsi="Times New Roman"/>
          <w:sz w:val="20"/>
        </w:rPr>
        <w:t>Team SDN_07  |  EC466: Software Defined Networks</w:t>
      </w:r>
    </w:p>
    <w:p>
      <w:pPr>
        <w:jc w:val="center"/>
      </w:pPr>
      <w:r>
        <w:rPr>
          <w:rFonts w:ascii="Times New Roman" w:hAnsi="Times New Roman"/>
          <w:i/>
          <w:sz w:val="16"/>
        </w:rPr>
        <w:t>Technical report prepared from the project source and benchmark record, October 2026</w:t>
      </w:r>
    </w:p>
    <w:p>
      <w:pPr>
        <w:pStyle w:val="Heading1"/>
        <w:keepNext/>
      </w:pPr>
      <w:r>
        <w:t>Abstract</w:t>
      </w:r>
    </w:p>
    <w:p>
      <w:pPr>
        <w:spacing w:after="80"/>
        <w:jc w:val="both"/>
      </w:pPr>
      <w:r>
        <w:t>Self-improving network control must improve from experience without allowing an exploratory policy to destabilize the network. SELF-X addresses this tension with a bounded episodic agent for a two-path software-defined network. The agent stores completed state-action-outcome episodes, retrieves only regime-compatible prior experiences, estimates reward for a small set of meter headroom parameters, and selects a parameter using a lower-confidence rule. Candidate actions are still passed through an independent deterministic safety gate; unsafe actions fail closed to no-op. A Revision 4 evaluation uses 8 traffic scenarios, 10 held-out seeds, 9 controllers, and 86,400 simulated control windows. Across the paired benchmark record, the loss-aware memory controller achieves 17.45 ms mean modeled latency, 13.011 Mbps mean goodput, and 7.075% mean loss, compared with 17.36 ms, 13.011 Mbps, and 7.077% for its matched capacity-aware no-memory policy. Relative to the original embedding memory, the revised design reduces loss by approximately 1.39 percentage points and increases goodput by approximately 0.183 Mbps in the aggregate record. The results support a precise conclusion: self-improvement is most useful when it learns bounded parameters under explicit feasibility, evidence, and safety constraints, rather than when it freely invents network actions.</w:t>
      </w:r>
    </w:p>
    <w:p>
      <w:pPr>
        <w:spacing w:after="160"/>
      </w:pPr>
      <w:r>
        <w:rPr>
          <w:b/>
        </w:rPr>
        <w:t>Index Terms—</w:t>
      </w:r>
      <w:r>
        <w:t xml:space="preserve"> software-defined networking, self-improving agents, episodic memory, safe reinforcement learning, traffic engineering, bounded control, reproducible evaluation.</w:t>
      </w:r>
    </w:p>
    <w:p>
      <w:pPr>
        <w:sectPr>
          <w:footerReference w:type="default" r:id="rId9"/>
          <w:pgSz w:w="12240" w:h="15840"/>
          <w:pgMar w:top="936" w:right="1008" w:bottom="936" w:left="1008" w:header="720" w:footer="720" w:gutter="0"/>
          <w:cols w:space="720"/>
          <w:docGrid w:linePitch="360"/>
        </w:sectPr>
      </w:pPr>
    </w:p>
    <w:p>
      <w:pPr>
        <w:pStyle w:val="Heading1"/>
        <w:keepNext/>
      </w:pPr>
      <w:r>
        <w:t>I. Introduction</w:t>
      </w:r>
    </w:p>
    <w:p>
      <w:pPr>
        <w:pStyle w:val="BodyText"/>
        <w:spacing w:after="60"/>
        <w:ind w:firstLine="259"/>
      </w:pPr>
      <w:r>
        <w:rPr>
          <w:i w:val="0"/>
        </w:rPr>
        <w:t>Software-defined networks expose a programmable control surface, but programmability alone does not provide adaptation. A controller must decide when to change forwarding, how aggressively to meter a flow, and how to use past outcomes without leaking future information into the current decision. These requirements become more stringent when a decision may be suggested by a slow or unreliable language-model provider.</w:t>
      </w:r>
    </w:p>
    <w:p>
      <w:pPr>
        <w:pStyle w:val="BodyText"/>
        <w:spacing w:after="60"/>
        <w:ind w:firstLine="259"/>
      </w:pPr>
      <w:r>
        <w:rPr>
          <w:i w:val="0"/>
        </w:rPr>
        <w:t>This report isolates the self-improving-agent contribution in the SELF-X project. It does not treat the dashboard, packaging, or general SDN testbed as research outcomes. The paper focuses on the learning loop: observation, episodic retrieval, bounded parameter selection, deterministic safety validation, measured reward, and retention of the completed episode.</w:t>
      </w:r>
    </w:p>
    <w:p>
      <w:pPr>
        <w:pStyle w:val="BodyText"/>
        <w:spacing w:after="60"/>
        <w:ind w:firstLine="259"/>
      </w:pPr>
      <w:r>
        <w:rPr>
          <w:i w:val="0"/>
        </w:rPr>
        <w:t>The central design question is therefore not whether an agent can make a novel action, but whether it can improve a restricted action set from its own evidence while preserving operational invariants. The contributions are:</w:t>
      </w:r>
    </w:p>
    <w:p>
      <w:pPr>
        <w:pStyle w:val="ListBullet"/>
        <w:spacing w:after="20"/>
        <w:ind w:left="259"/>
      </w:pPr>
      <w:r>
        <w:t>A loss-aware episodic memory that conditions retrieval on congestion regime, state similarity, action, and meter headroom.</w:t>
      </w:r>
    </w:p>
    <w:p>
      <w:pPr>
        <w:pStyle w:val="ListBullet"/>
        <w:spacing w:after="20"/>
        <w:ind w:left="259"/>
      </w:pPr>
      <w:r>
        <w:t>A lower-confidence-bound selection rule over three fixed headroom parameters, with explicit support requirements and bounded exploration.</w:t>
      </w:r>
    </w:p>
    <w:p>
      <w:pPr>
        <w:pStyle w:val="ListBullet"/>
        <w:spacing w:after="20"/>
        <w:ind w:left="259"/>
      </w:pPr>
      <w:r>
        <w:t>A fail-closed safety gate independent of learned or provider-generated decisions.</w:t>
      </w:r>
    </w:p>
    <w:p>
      <w:pPr>
        <w:pStyle w:val="ListBullet"/>
        <w:spacing w:after="20"/>
        <w:ind w:left="259"/>
      </w:pPr>
      <w:r>
        <w:t>A paired, deterministic benchmark protocol that separates improvement due to memory from improvement due to the underlying heuristic.</w:t>
      </w:r>
    </w:p>
    <w:p>
      <w:pPr>
        <w:pStyle w:val="Heading1"/>
        <w:keepNext/>
      </w:pPr>
      <w:r>
        <w:t>II. System Model and Problem Formulation</w:t>
      </w:r>
    </w:p>
    <w:p>
      <w:pPr>
        <w:pStyle w:val="BodyText"/>
        <w:spacing w:after="60"/>
        <w:ind w:firstLine="259"/>
      </w:pPr>
      <w:r>
        <w:rPr>
          <w:i w:val="0"/>
        </w:rPr>
        <w:t>The evaluated environment is a two-path finite-buffer fluid network. Each path has capacity C = 10 Mbps and buffer B = 0.5 Mbit. A control window lasts T = 5 s and contains primary background traffic p, alternate background traffic a, and an elephant flow e. The agent observes rates, persistent queue occupancies, and derived feasibility margins before selecting one of three action classes: no-op, reroute, or rate-limit.</w:t>
      </w:r>
    </w:p>
    <w:p>
      <w:pPr>
        <w:pStyle w:val="BodyText"/>
        <w:spacing w:after="60"/>
        <w:ind w:firstLine="259"/>
      </w:pPr>
      <w:r>
        <w:rPr>
          <w:i w:val="0"/>
        </w:rPr>
        <w:t>The state representation preserves magnitudes while making heterogeneous values comparable. It includes normalized rates, capacity margins, normalized queue depths, and regime indicators. A regime captures whether primary load, alternate-path feasibility, and the candidate meter condition are congested. This prevents a superficially similar episode from being reused when its feasible action set is materially different.</w:t>
      </w:r>
    </w:p>
    <w:p>
      <w:pPr>
        <w:pStyle w:val="BodyText"/>
        <w:spacing w:after="60"/>
        <w:ind w:firstLine="259"/>
      </w:pPr>
      <w:r>
        <w:rPr>
          <w:i w:val="0"/>
        </w:rPr>
        <w:t>For each path, queue evolution follows dQ/dt = admitted rate − C, with saturation at B. Delivered volume, meter drops, buffer drops, and the next queue are checked against the conservation identity:</w:t>
      </w:r>
    </w:p>
    <w:p>
      <w:pPr>
        <w:jc w:val="center"/>
      </w:pPr>
      <w:r>
        <w:rPr>
          <w:i/>
        </w:rPr>
        <w:t>Q_prev + Offered = Delivered + MeterDrops + BufferDrops + Q_next.    (1)</w:t>
      </w:r>
    </w:p>
    <w:p>
      <w:pPr>
        <w:pStyle w:val="BodyText"/>
        <w:spacing w:after="60"/>
        <w:ind w:firstLine="259"/>
      </w:pPr>
      <w:r>
        <w:rPr>
          <w:i w:val="0"/>
        </w:rPr>
        <w:t>Modeled delay is obtained from the integrated queue area plus an 8 ms propagation term. Reward combines normalized changes in latency, throughput, and loss. The project configuration weights these terms as −0.4 latency, +0.4 throughput, and −0.2 loss, so larger reward is always intended to represent a better measured outcome.</w:t>
      </w:r>
    </w:p>
    <w:p>
      <w:pPr>
        <w:pStyle w:val="Heading1"/>
        <w:keepNext/>
      </w:pPr>
      <w:r>
        <w:t>III. Self-Improving Agent Design</w:t>
      </w:r>
    </w:p>
    <w:p>
      <w:pPr>
        <w:pStyle w:val="Heading2"/>
        <w:keepNext/>
      </w:pPr>
      <w:r>
        <w:t>A. Episodic Memory</w:t>
      </w:r>
    </w:p>
    <w:p>
      <w:pPr>
        <w:pStyle w:val="BodyText"/>
        <w:spacing w:after="60"/>
        <w:ind w:firstLine="259"/>
      </w:pPr>
      <w:r>
        <w:rPr>
          <w:i w:val="0"/>
        </w:rPr>
        <w:t>Only completed earlier episodes enter memory. Each record contains the cycle, state summary, action, concrete parameters, measured reward, and a reflection. The memory is capped at 128 records and pruned by cells defined by action, headroom parameter, congestion regime, and coarse context bins. At most six recent records are retained per cell before global truncation. This keeps retrieval bounded and prevents a long run from being dominated by one traffic regime.</w:t>
      </w:r>
    </w:p>
    <w:p>
      <w:pPr>
        <w:pStyle w:val="BodyText"/>
        <w:spacing w:after="60"/>
        <w:ind w:firstLine="259"/>
      </w:pPr>
      <w:r>
        <w:rPr>
          <w:i w:val="0"/>
        </w:rPr>
        <w:t>Retrieval first rejects records from a different regime. It then applies calipers to the context vector, uses a weighted squared distance, and applies exponential recency decay. For rate-limit decisions, records are grouped by headroom in {0.0, 0.1, 0.3} Mbps. The learned object is therefore a small parameter choice, not an unconstrained command language.</w:t>
      </w:r>
    </w:p>
    <w:p>
      <w:pPr>
        <w:pStyle w:val="Heading2"/>
        <w:keepNext/>
      </w:pPr>
      <w:r>
        <w:t>B. Bounded Policy Improvement</w:t>
      </w:r>
    </w:p>
    <w:p>
      <w:pPr>
        <w:pStyle w:val="BodyText"/>
        <w:spacing w:after="60"/>
        <w:ind w:firstLine="259"/>
      </w:pPr>
      <w:r>
        <w:rPr>
          <w:i w:val="0"/>
        </w:rPr>
        <w:t>The capacity-aware base policy first returns no-op when primary demand fits. If the alternate path can accept the elephant flow under a 90% ceiling, it reroutes. Otherwise it constructs a rate-limit candidate. The loss-aware extension evaluates the three headroom candidates using prior rate-limit episodes. Unsupported candidates are explored in a deterministic bounded order; supported candidates are ranked by a lower confidence bound:</w:t>
      </w:r>
    </w:p>
    <w:p>
      <w:pPr>
        <w:jc w:val="center"/>
      </w:pPr>
      <w:r>
        <w:rPr>
          <w:i/>
        </w:rPr>
        <w:t>LCB(h) = μ_h − 1.96 √(σ²_h / n_h).    (2)</w:t>
      </w:r>
    </w:p>
    <w:p>
      <w:pPr>
        <w:pStyle w:val="BodyText"/>
        <w:spacing w:after="60"/>
        <w:ind w:firstLine="259"/>
      </w:pPr>
      <w:r>
        <w:rPr>
          <w:i w:val="0"/>
        </w:rPr>
        <w:t>A candidate requires at least three prior supporting records. The selected candidate must also beat the base alternative by a small margin; otherwise the base policy remains in control. This is a conservative form of contextual bandit behavior: evidence can improve a parameter, but lack of evidence cannot justify an aggressive action.</w:t>
      </w:r>
    </w:p>
    <w:p>
      <w:pPr>
        <w:pStyle w:val="Heading2"/>
        <w:keepNext/>
      </w:pPr>
      <w:r>
        <w:t>C. Independent Safety Gate</w:t>
      </w:r>
    </w:p>
    <w:p>
      <w:pPr>
        <w:pStyle w:val="BodyText"/>
        <w:spacing w:after="60"/>
        <w:ind w:firstLine="259"/>
      </w:pPr>
      <w:r>
        <w:rPr>
          <w:i w:val="0"/>
        </w:rPr>
        <w:t>The safety check is not learned and is not delegated to an LLM. A rate-limit proposal is rejected if its minimum floor is not met or if it would drop more than 20% of the current flow. A reroute is rejected if projected destination utilization exceeds 90%. Unknown actions and missing parameters fail closed to no-op. The guard logs the proposed action and the safe action so that veto rates remain measurable.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jc w:val="center"/>
            </w:pPr>
            <w:r/>
            <w:r>
              <w:rPr>
                <w:rFonts w:ascii="Times New Roman" w:hAnsi="Times New Roman"/>
                <w:b/>
                <w:sz w:val="16"/>
              </w:rPr>
              <w:t>Rule</w:t>
            </w:r>
          </w:p>
        </w:tc>
        <w:tc>
          <w:tcPr>
            <w:tcW w:type="dxa" w:w="3408"/>
            <w:vAlign w:val="center"/>
            <w:shd w:fill="D9EAF7"/>
          </w:tcPr>
          <w:p>
            <w:pPr>
              <w:jc w:val="center"/>
            </w:pPr>
            <w:r/>
            <w:r>
              <w:rPr>
                <w:rFonts w:ascii="Times New Roman" w:hAnsi="Times New Roman"/>
                <w:b/>
                <w:sz w:val="16"/>
              </w:rPr>
              <w:t>Constraint</w:t>
            </w:r>
          </w:p>
        </w:tc>
        <w:tc>
          <w:tcPr>
            <w:tcW w:type="dxa" w:w="3408"/>
            <w:vAlign w:val="center"/>
            <w:shd w:fill="D9EAF7"/>
          </w:tcPr>
          <w:p>
            <w:pPr>
              <w:jc w:val="center"/>
            </w:pPr>
            <w:r/>
            <w:r>
              <w:rPr>
                <w:rFonts w:ascii="Times New Roman" w:hAnsi="Times New Roman"/>
                <w:b/>
                <w:sz w:val="16"/>
              </w:rPr>
              <w:t>Failure action</w:t>
            </w:r>
          </w:p>
        </w:tc>
      </w:tr>
      <w:tr>
        <w:tc>
          <w:tcPr>
            <w:tcW w:type="dxa" w:w="3408"/>
            <w:vAlign w:val="center"/>
          </w:tcPr>
          <w:p>
            <w:pPr>
              <w:jc w:val="center"/>
            </w:pPr>
            <w:r/>
            <w:r>
              <w:rPr>
                <w:rFonts w:ascii="Times New Roman" w:hAnsi="Times New Roman"/>
                <w:b w:val="0"/>
                <w:sz w:val="16"/>
              </w:rPr>
              <w:t>Rate limit</w:t>
            </w:r>
          </w:p>
        </w:tc>
        <w:tc>
          <w:tcPr>
            <w:tcW w:type="dxa" w:w="3408"/>
            <w:vAlign w:val="center"/>
          </w:tcPr>
          <w:p>
            <w:pPr>
              <w:jc w:val="center"/>
            </w:pPr>
            <w:r/>
            <w:r>
              <w:rPr>
                <w:rFonts w:ascii="Times New Roman" w:hAnsi="Times New Roman"/>
                <w:b w:val="0"/>
                <w:sz w:val="16"/>
              </w:rPr>
              <w:t>Drop &lt;= 20% of current flow; rate &gt;= 512 kbps</w:t>
            </w:r>
          </w:p>
        </w:tc>
        <w:tc>
          <w:tcPr>
            <w:tcW w:type="dxa" w:w="3408"/>
            <w:vAlign w:val="center"/>
          </w:tcPr>
          <w:p>
            <w:pPr>
              <w:jc w:val="center"/>
            </w:pPr>
            <w:r/>
            <w:r>
              <w:rPr>
                <w:rFonts w:ascii="Times New Roman" w:hAnsi="Times New Roman"/>
                <w:b w:val="0"/>
                <w:sz w:val="16"/>
              </w:rPr>
              <w:t>Veto to no-op</w:t>
            </w:r>
          </w:p>
        </w:tc>
      </w:tr>
      <w:tr>
        <w:tc>
          <w:tcPr>
            <w:tcW w:type="dxa" w:w="3408"/>
            <w:vAlign w:val="center"/>
          </w:tcPr>
          <w:p>
            <w:pPr>
              <w:jc w:val="center"/>
            </w:pPr>
            <w:r/>
            <w:r>
              <w:rPr>
                <w:rFonts w:ascii="Times New Roman" w:hAnsi="Times New Roman"/>
                <w:b w:val="0"/>
                <w:sz w:val="16"/>
              </w:rPr>
              <w:t>Reroute</w:t>
            </w:r>
          </w:p>
        </w:tc>
        <w:tc>
          <w:tcPr>
            <w:tcW w:type="dxa" w:w="3408"/>
            <w:vAlign w:val="center"/>
          </w:tcPr>
          <w:p>
            <w:pPr>
              <w:jc w:val="center"/>
            </w:pPr>
            <w:r/>
            <w:r>
              <w:rPr>
                <w:rFonts w:ascii="Times New Roman" w:hAnsi="Times New Roman"/>
                <w:b w:val="0"/>
                <w:sz w:val="16"/>
              </w:rPr>
              <w:t>Projected target utilization &lt;= 90%</w:t>
            </w:r>
          </w:p>
        </w:tc>
        <w:tc>
          <w:tcPr>
            <w:tcW w:type="dxa" w:w="3408"/>
            <w:vAlign w:val="center"/>
          </w:tcPr>
          <w:p>
            <w:pPr>
              <w:jc w:val="center"/>
            </w:pPr>
            <w:r/>
            <w:r>
              <w:rPr>
                <w:rFonts w:ascii="Times New Roman" w:hAnsi="Times New Roman"/>
                <w:b w:val="0"/>
                <w:sz w:val="16"/>
              </w:rPr>
              <w:t>Veto to no-op</w:t>
            </w:r>
          </w:p>
        </w:tc>
      </w:tr>
      <w:tr>
        <w:tc>
          <w:tcPr>
            <w:tcW w:type="dxa" w:w="3408"/>
            <w:vAlign w:val="center"/>
          </w:tcPr>
          <w:p>
            <w:pPr>
              <w:jc w:val="center"/>
            </w:pPr>
            <w:r/>
            <w:r>
              <w:rPr>
                <w:rFonts w:ascii="Times New Roman" w:hAnsi="Times New Roman"/>
                <w:b w:val="0"/>
                <w:sz w:val="16"/>
              </w:rPr>
              <w:t>Unknown/malformed</w:t>
            </w:r>
          </w:p>
        </w:tc>
        <w:tc>
          <w:tcPr>
            <w:tcW w:type="dxa" w:w="3408"/>
            <w:vAlign w:val="center"/>
          </w:tcPr>
          <w:p>
            <w:pPr>
              <w:jc w:val="center"/>
            </w:pPr>
            <w:r/>
            <w:r>
              <w:rPr>
                <w:rFonts w:ascii="Times New Roman" w:hAnsi="Times New Roman"/>
                <w:b w:val="0"/>
                <w:sz w:val="16"/>
              </w:rPr>
              <w:t>Action and parameters must be recognized</w:t>
            </w:r>
          </w:p>
        </w:tc>
        <w:tc>
          <w:tcPr>
            <w:tcW w:type="dxa" w:w="3408"/>
            <w:vAlign w:val="center"/>
          </w:tcPr>
          <w:p>
            <w:pPr>
              <w:jc w:val="center"/>
            </w:pPr>
            <w:r/>
            <w:r>
              <w:rPr>
                <w:rFonts w:ascii="Times New Roman" w:hAnsi="Times New Roman"/>
                <w:b w:val="0"/>
                <w:sz w:val="16"/>
              </w:rPr>
              <w:t>Veto to no-op</w:t>
            </w:r>
          </w:p>
        </w:tc>
      </w:tr>
      <w:tr>
        <w:tc>
          <w:tcPr>
            <w:tcW w:type="dxa" w:w="3408"/>
            <w:vAlign w:val="center"/>
          </w:tcPr>
          <w:p>
            <w:pPr>
              <w:jc w:val="center"/>
            </w:pPr>
            <w:r/>
            <w:r>
              <w:rPr>
                <w:rFonts w:ascii="Times New Roman" w:hAnsi="Times New Roman"/>
                <w:b w:val="0"/>
                <w:sz w:val="16"/>
              </w:rPr>
              <w:t>Learning input</w:t>
            </w:r>
          </w:p>
        </w:tc>
        <w:tc>
          <w:tcPr>
            <w:tcW w:type="dxa" w:w="3408"/>
            <w:vAlign w:val="center"/>
          </w:tcPr>
          <w:p>
            <w:pPr>
              <w:jc w:val="center"/>
            </w:pPr>
            <w:r/>
            <w:r>
              <w:rPr>
                <w:rFonts w:ascii="Times New Roman" w:hAnsi="Times New Roman"/>
                <w:b w:val="0"/>
                <w:sz w:val="16"/>
              </w:rPr>
              <w:t>Only completed prior episodes</w:t>
            </w:r>
          </w:p>
        </w:tc>
        <w:tc>
          <w:tcPr>
            <w:tcW w:type="dxa" w:w="3408"/>
            <w:vAlign w:val="center"/>
          </w:tcPr>
          <w:p>
            <w:pPr>
              <w:jc w:val="center"/>
            </w:pPr>
            <w:r/>
            <w:r>
              <w:rPr>
                <w:rFonts w:ascii="Times New Roman" w:hAnsi="Times New Roman"/>
                <w:b w:val="0"/>
                <w:sz w:val="16"/>
              </w:rPr>
              <w:t>Do not update memory</w:t>
            </w:r>
          </w:p>
        </w:tc>
      </w:tr>
    </w:tbl>
    <w:p/>
    <w:p>
      <w:pPr>
        <w:pStyle w:val="Heading2"/>
        <w:keepNext/>
      </w:pPr>
      <w:r>
        <w:t>D. Control-Loop Ordering</w:t>
      </w:r>
    </w:p>
    <w:p>
      <w:pPr>
        <w:pStyle w:val="BodyText"/>
        <w:spacing w:after="60"/>
        <w:ind w:firstLine="259"/>
      </w:pPr>
      <w:r>
        <w:rPr>
          <w:i w:val="0"/>
        </w:rPr>
        <w:t>The implementation orders the loop as observe → summarize → retrieve → propose → validate → install → advance simulation → measure → compute reward → store. This ordering is important: candidate outcomes are not consulted before action selection, and the current window cannot train the decision that caused it. A healthy bypass and deterministic capacity fallback also reduce dependence on an external provider.</w:t>
      </w:r>
    </w:p>
    <w:p>
      <w:pPr>
        <w:pStyle w:val="Heading1"/>
        <w:keepNext/>
      </w:pPr>
      <w:r>
        <w:t>IV. Experimental Methodology</w:t>
      </w:r>
    </w:p>
    <w:p>
      <w:pPr>
        <w:pStyle w:val="BodyText"/>
        <w:spacing w:after="60"/>
        <w:ind w:firstLine="259"/>
      </w:pPr>
      <w:r>
        <w:rPr>
          <w:i w:val="0"/>
        </w:rPr>
        <w:t>The Revision 4 protocol evaluates eight scenarios—mixed, flash, alternate, shift, overload, light, recurring, and volatile—using held-out seeds 1900–1909. Every scenario-seed trace is shared byte-for-byte across controllers and recorded with a SHA-256 digest. Each run has 120 five-second windows, producing 86,400 controller windows across nine controllers.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jc w:val="center"/>
            </w:pPr>
            <w:r/>
            <w:r>
              <w:rPr>
                <w:rFonts w:ascii="Times New Roman" w:hAnsi="Times New Roman"/>
                <w:b/>
                <w:sz w:val="16"/>
              </w:rPr>
              <w:t>Controller</w:t>
            </w:r>
          </w:p>
        </w:tc>
        <w:tc>
          <w:tcPr>
            <w:tcW w:type="dxa" w:w="5112"/>
            <w:vAlign w:val="center"/>
            <w:shd w:fill="D9EAF7"/>
          </w:tcPr>
          <w:p>
            <w:pPr>
              <w:jc w:val="center"/>
            </w:pPr>
            <w:r/>
            <w:r>
              <w:rPr>
                <w:rFonts w:ascii="Times New Roman" w:hAnsi="Times New Roman"/>
                <w:b/>
                <w:sz w:val="16"/>
              </w:rPr>
              <w:t>Role in ablation</w:t>
            </w:r>
          </w:p>
        </w:tc>
      </w:tr>
      <w:tr>
        <w:tc>
          <w:tcPr>
            <w:tcW w:type="dxa" w:w="5112"/>
            <w:vAlign w:val="center"/>
          </w:tcPr>
          <w:p>
            <w:pPr>
              <w:jc w:val="center"/>
            </w:pPr>
            <w:r/>
            <w:r>
              <w:rPr>
                <w:rFonts w:ascii="Times New Roman" w:hAnsi="Times New Roman"/>
                <w:b w:val="0"/>
                <w:sz w:val="16"/>
              </w:rPr>
              <w:t>A0</w:t>
            </w:r>
          </w:p>
        </w:tc>
        <w:tc>
          <w:tcPr>
            <w:tcW w:type="dxa" w:w="5112"/>
            <w:vAlign w:val="center"/>
          </w:tcPr>
          <w:p>
            <w:pPr>
              <w:jc w:val="center"/>
            </w:pPr>
            <w:r/>
            <w:r>
              <w:rPr>
                <w:rFonts w:ascii="Times New Roman" w:hAnsi="Times New Roman"/>
                <w:b w:val="0"/>
                <w:sz w:val="16"/>
              </w:rPr>
              <w:t>Static primary-path baseline</w:t>
            </w:r>
          </w:p>
        </w:tc>
      </w:tr>
      <w:tr>
        <w:tc>
          <w:tcPr>
            <w:tcW w:type="dxa" w:w="5112"/>
            <w:vAlign w:val="center"/>
          </w:tcPr>
          <w:p>
            <w:pPr>
              <w:jc w:val="center"/>
            </w:pPr>
            <w:r/>
            <w:r>
              <w:rPr>
                <w:rFonts w:ascii="Times New Roman" w:hAnsi="Times New Roman"/>
                <w:b w:val="0"/>
                <w:sz w:val="16"/>
              </w:rPr>
              <w:t>H2</w:t>
            </w:r>
          </w:p>
        </w:tc>
        <w:tc>
          <w:tcPr>
            <w:tcW w:type="dxa" w:w="5112"/>
            <w:vAlign w:val="center"/>
          </w:tcPr>
          <w:p>
            <w:pPr>
              <w:jc w:val="center"/>
            </w:pPr>
            <w:r/>
            <w:r>
              <w:rPr>
                <w:rFonts w:ascii="Times New Roman" w:hAnsi="Times New Roman"/>
                <w:b w:val="0"/>
                <w:sz w:val="16"/>
              </w:rPr>
              <w:t>Capacity-aware meter, no memory (matched baseline)</w:t>
            </w:r>
          </w:p>
        </w:tc>
      </w:tr>
      <w:tr>
        <w:tc>
          <w:tcPr>
            <w:tcW w:type="dxa" w:w="5112"/>
            <w:vAlign w:val="center"/>
          </w:tcPr>
          <w:p>
            <w:pPr>
              <w:jc w:val="center"/>
            </w:pPr>
            <w:r/>
            <w:r>
              <w:rPr>
                <w:rFonts w:ascii="Times New Roman" w:hAnsi="Times New Roman"/>
                <w:b w:val="0"/>
                <w:sz w:val="16"/>
              </w:rPr>
              <w:t>A4</w:t>
            </w:r>
          </w:p>
        </w:tc>
        <w:tc>
          <w:tcPr>
            <w:tcW w:type="dxa" w:w="5112"/>
            <w:vAlign w:val="center"/>
          </w:tcPr>
          <w:p>
            <w:pPr>
              <w:jc w:val="center"/>
            </w:pPr>
            <w:r/>
            <w:r>
              <w:rPr>
                <w:rFonts w:ascii="Times New Roman" w:hAnsi="Times New Roman"/>
                <w:b w:val="0"/>
                <w:sz w:val="16"/>
              </w:rPr>
              <w:t>Loss-aware parameter-conditioned memory</w:t>
            </w:r>
          </w:p>
        </w:tc>
      </w:tr>
      <w:tr>
        <w:tc>
          <w:tcPr>
            <w:tcW w:type="dxa" w:w="5112"/>
            <w:vAlign w:val="center"/>
          </w:tcPr>
          <w:p>
            <w:pPr>
              <w:jc w:val="center"/>
            </w:pPr>
            <w:r/>
            <w:r>
              <w:rPr>
                <w:rFonts w:ascii="Times New Roman" w:hAnsi="Times New Roman"/>
                <w:b w:val="0"/>
                <w:sz w:val="16"/>
              </w:rPr>
              <w:t>A2</w:t>
            </w:r>
          </w:p>
        </w:tc>
        <w:tc>
          <w:tcPr>
            <w:tcW w:type="dxa" w:w="5112"/>
            <w:vAlign w:val="center"/>
          </w:tcPr>
          <w:p>
            <w:pPr>
              <w:jc w:val="center"/>
            </w:pPr>
            <w:r/>
            <w:r>
              <w:rPr>
                <w:rFonts w:ascii="Times New Roman" w:hAnsi="Times New Roman"/>
                <w:b w:val="0"/>
                <w:sz w:val="16"/>
              </w:rPr>
              <w:t>Original embedding memory</w:t>
            </w:r>
          </w:p>
        </w:tc>
      </w:tr>
      <w:tr>
        <w:tc>
          <w:tcPr>
            <w:tcW w:type="dxa" w:w="5112"/>
            <w:vAlign w:val="center"/>
          </w:tcPr>
          <w:p>
            <w:pPr>
              <w:jc w:val="center"/>
            </w:pPr>
            <w:r/>
            <w:r>
              <w:rPr>
                <w:rFonts w:ascii="Times New Roman" w:hAnsi="Times New Roman"/>
                <w:b w:val="0"/>
                <w:sz w:val="16"/>
              </w:rPr>
              <w:t>V3</w:t>
            </w:r>
          </w:p>
        </w:tc>
        <w:tc>
          <w:tcPr>
            <w:tcW w:type="dxa" w:w="5112"/>
            <w:vAlign w:val="center"/>
          </w:tcPr>
          <w:p>
            <w:pPr>
              <w:jc w:val="center"/>
            </w:pPr>
            <w:r/>
            <w:r>
              <w:rPr>
                <w:rFonts w:ascii="Times New Roman" w:hAnsi="Times New Roman"/>
                <w:b w:val="0"/>
                <w:sz w:val="16"/>
              </w:rPr>
              <w:t>Previous adaptive-memory revision</w:t>
            </w:r>
          </w:p>
        </w:tc>
      </w:tr>
      <w:tr>
        <w:tc>
          <w:tcPr>
            <w:tcW w:type="dxa" w:w="5112"/>
            <w:vAlign w:val="center"/>
          </w:tcPr>
          <w:p>
            <w:pPr>
              <w:jc w:val="center"/>
            </w:pPr>
            <w:r/>
            <w:r>
              <w:rPr>
                <w:rFonts w:ascii="Times New Roman" w:hAnsi="Times New Roman"/>
                <w:b w:val="0"/>
                <w:sz w:val="16"/>
              </w:rPr>
              <w:t>O2</w:t>
            </w:r>
          </w:p>
        </w:tc>
        <w:tc>
          <w:tcPr>
            <w:tcW w:type="dxa" w:w="5112"/>
            <w:vAlign w:val="center"/>
          </w:tcPr>
          <w:p>
            <w:pPr>
              <w:jc w:val="center"/>
            </w:pPr>
            <w:r/>
            <w:r>
              <w:rPr>
                <w:rFonts w:ascii="Times New Roman" w:hAnsi="Times New Roman"/>
                <w:b w:val="0"/>
                <w:sz w:val="16"/>
              </w:rPr>
              <w:t>Privileged matched-action reference</w:t>
            </w:r>
          </w:p>
        </w:tc>
      </w:tr>
    </w:tbl>
    <w:p/>
    <w:p>
      <w:pPr>
        <w:pStyle w:val="BodyText"/>
        <w:spacing w:after="60"/>
        <w:ind w:firstLine="259"/>
      </w:pPr>
      <w:r>
        <w:rPr>
          <w:i w:val="0"/>
        </w:rPr>
        <w:t>The principal comparison is A4 versus H2, because both use the same bounded meter candidates and differ in whether completed episodes influence headroom selection. A4 versus A2 measures the effect of replacing generic embedding retrieval with loss-aware parameter memory. Paired seed means are treated as the inference units, and the benchmark record reports 4,000-draw percentile bootstrap intervals with a fixed random seed.</w:t>
      </w:r>
    </w:p>
    <w:p>
      <w:pPr>
        <w:pStyle w:val="Heading1"/>
        <w:keepNext/>
      </w:pPr>
      <w:r>
        <w:t>V. Results</w:t>
      </w:r>
    </w:p>
    <w:p>
      <w:pPr>
        <w:pStyle w:val="BodyText"/>
        <w:spacing w:after="60"/>
        <w:ind w:firstLine="259"/>
      </w:pPr>
      <w:r>
        <w:rPr>
          <w:i w:val="0"/>
        </w:rPr>
        <w:t>The aggregate values below are arithmetic means across the eight scenario groups and ten seed-level measurements per group in the stored Revision 4 summary. They describe the modeled network outcomes, not a claim of deployment performance.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jc w:val="center"/>
            </w:pPr>
            <w:r/>
            <w:r>
              <w:rPr>
                <w:rFonts w:ascii="Times New Roman" w:hAnsi="Times New Roman"/>
                <w:b/>
                <w:sz w:val="16"/>
              </w:rPr>
              <w:t>Controller</w:t>
            </w:r>
          </w:p>
        </w:tc>
        <w:tc>
          <w:tcPr>
            <w:tcW w:type="dxa" w:w="1704"/>
            <w:vAlign w:val="center"/>
            <w:shd w:fill="D9EAF7"/>
          </w:tcPr>
          <w:p>
            <w:pPr>
              <w:jc w:val="center"/>
            </w:pPr>
            <w:r/>
            <w:r>
              <w:rPr>
                <w:rFonts w:ascii="Times New Roman" w:hAnsi="Times New Roman"/>
                <w:b/>
                <w:sz w:val="16"/>
              </w:rPr>
              <w:t>Latency (ms)</w:t>
            </w:r>
          </w:p>
        </w:tc>
        <w:tc>
          <w:tcPr>
            <w:tcW w:type="dxa" w:w="1704"/>
            <w:vAlign w:val="center"/>
            <w:shd w:fill="D9EAF7"/>
          </w:tcPr>
          <w:p>
            <w:pPr>
              <w:jc w:val="center"/>
            </w:pPr>
            <w:r/>
            <w:r>
              <w:rPr>
                <w:rFonts w:ascii="Times New Roman" w:hAnsi="Times New Roman"/>
                <w:b/>
                <w:sz w:val="16"/>
              </w:rPr>
              <w:t>Goodput (Mbps)</w:t>
            </w:r>
          </w:p>
        </w:tc>
        <w:tc>
          <w:tcPr>
            <w:tcW w:type="dxa" w:w="1704"/>
            <w:vAlign w:val="center"/>
            <w:shd w:fill="D9EAF7"/>
          </w:tcPr>
          <w:p>
            <w:pPr>
              <w:jc w:val="center"/>
            </w:pPr>
            <w:r/>
            <w:r>
              <w:rPr>
                <w:rFonts w:ascii="Times New Roman" w:hAnsi="Times New Roman"/>
                <w:b/>
                <w:sz w:val="16"/>
              </w:rPr>
              <w:t>Loss (%)</w:t>
            </w:r>
          </w:p>
        </w:tc>
        <w:tc>
          <w:tcPr>
            <w:tcW w:type="dxa" w:w="1704"/>
            <w:vAlign w:val="center"/>
            <w:shd w:fill="D9EAF7"/>
          </w:tcPr>
          <w:p>
            <w:pPr>
              <w:jc w:val="center"/>
            </w:pPr>
            <w:r/>
            <w:r>
              <w:rPr>
                <w:rFonts w:ascii="Times New Roman" w:hAnsi="Times New Roman"/>
                <w:b/>
                <w:sz w:val="16"/>
              </w:rPr>
              <w:t>Reward</w:t>
            </w:r>
          </w:p>
        </w:tc>
        <w:tc>
          <w:tcPr>
            <w:tcW w:type="dxa" w:w="1704"/>
            <w:vAlign w:val="center"/>
            <w:shd w:fill="D9EAF7"/>
          </w:tcPr>
          <w:p>
            <w:pPr>
              <w:jc w:val="center"/>
            </w:pPr>
            <w:r/>
            <w:r>
              <w:rPr>
                <w:rFonts w:ascii="Times New Roman" w:hAnsi="Times New Roman"/>
                <w:b/>
                <w:sz w:val="16"/>
              </w:rPr>
              <w:t>Control (ms)</w:t>
            </w:r>
          </w:p>
        </w:tc>
      </w:tr>
      <w:tr>
        <w:tc>
          <w:tcPr>
            <w:tcW w:type="dxa" w:w="1704"/>
            <w:vAlign w:val="center"/>
          </w:tcPr>
          <w:p>
            <w:pPr>
              <w:jc w:val="center"/>
            </w:pPr>
            <w:r/>
            <w:r>
              <w:rPr>
                <w:rFonts w:ascii="Times New Roman" w:hAnsi="Times New Roman"/>
                <w:b w:val="0"/>
                <w:sz w:val="16"/>
              </w:rPr>
              <w:t>A0</w:t>
            </w:r>
          </w:p>
        </w:tc>
        <w:tc>
          <w:tcPr>
            <w:tcW w:type="dxa" w:w="1704"/>
            <w:vAlign w:val="center"/>
          </w:tcPr>
          <w:p>
            <w:pPr>
              <w:jc w:val="center"/>
            </w:pPr>
            <w:r/>
            <w:r>
              <w:rPr>
                <w:rFonts w:ascii="Times New Roman" w:hAnsi="Times New Roman"/>
                <w:b w:val="0"/>
                <w:sz w:val="16"/>
              </w:rPr>
              <w:t>25.904</w:t>
            </w:r>
          </w:p>
        </w:tc>
        <w:tc>
          <w:tcPr>
            <w:tcW w:type="dxa" w:w="1704"/>
            <w:vAlign w:val="center"/>
          </w:tcPr>
          <w:p>
            <w:pPr>
              <w:jc w:val="center"/>
            </w:pPr>
            <w:r/>
            <w:r>
              <w:rPr>
                <w:rFonts w:ascii="Times New Roman" w:hAnsi="Times New Roman"/>
                <w:b w:val="0"/>
                <w:sz w:val="16"/>
              </w:rPr>
              <w:t>12.872</w:t>
            </w:r>
          </w:p>
        </w:tc>
        <w:tc>
          <w:tcPr>
            <w:tcW w:type="dxa" w:w="1704"/>
            <w:vAlign w:val="center"/>
          </w:tcPr>
          <w:p>
            <w:pPr>
              <w:jc w:val="center"/>
            </w:pPr>
            <w:r/>
            <w:r>
              <w:rPr>
                <w:rFonts w:ascii="Times New Roman" w:hAnsi="Times New Roman"/>
                <w:b w:val="0"/>
                <w:sz w:val="16"/>
              </w:rPr>
              <w:t>8.149</w:t>
            </w:r>
          </w:p>
        </w:tc>
        <w:tc>
          <w:tcPr>
            <w:tcW w:type="dxa" w:w="1704"/>
            <w:vAlign w:val="center"/>
          </w:tcPr>
          <w:p>
            <w:pPr>
              <w:jc w:val="center"/>
            </w:pPr>
            <w:r/>
            <w:r>
              <w:rPr>
                <w:rFonts w:ascii="Times New Roman" w:hAnsi="Times New Roman"/>
                <w:b w:val="0"/>
                <w:sz w:val="16"/>
              </w:rPr>
              <w:t>0.0000</w:t>
            </w:r>
          </w:p>
        </w:tc>
        <w:tc>
          <w:tcPr>
            <w:tcW w:type="dxa" w:w="1704"/>
            <w:vAlign w:val="center"/>
          </w:tcPr>
          <w:p>
            <w:pPr>
              <w:jc w:val="center"/>
            </w:pPr>
            <w:r/>
            <w:r>
              <w:rPr>
                <w:rFonts w:ascii="Times New Roman" w:hAnsi="Times New Roman"/>
                <w:b w:val="0"/>
                <w:sz w:val="16"/>
              </w:rPr>
              <w:t>0.060</w:t>
            </w:r>
          </w:p>
        </w:tc>
      </w:tr>
      <w:tr>
        <w:tc>
          <w:tcPr>
            <w:tcW w:type="dxa" w:w="1704"/>
            <w:vAlign w:val="center"/>
          </w:tcPr>
          <w:p>
            <w:pPr>
              <w:jc w:val="center"/>
            </w:pPr>
            <w:r/>
            <w:r>
              <w:rPr>
                <w:rFonts w:ascii="Times New Roman" w:hAnsi="Times New Roman"/>
                <w:b w:val="0"/>
                <w:sz w:val="16"/>
              </w:rPr>
              <w:t>H2</w:t>
            </w:r>
          </w:p>
        </w:tc>
        <w:tc>
          <w:tcPr>
            <w:tcW w:type="dxa" w:w="1704"/>
            <w:vAlign w:val="center"/>
          </w:tcPr>
          <w:p>
            <w:pPr>
              <w:jc w:val="center"/>
            </w:pPr>
            <w:r/>
            <w:r>
              <w:rPr>
                <w:rFonts w:ascii="Times New Roman" w:hAnsi="Times New Roman"/>
                <w:b w:val="0"/>
                <w:sz w:val="16"/>
              </w:rPr>
              <w:t>17.363</w:t>
            </w:r>
          </w:p>
        </w:tc>
        <w:tc>
          <w:tcPr>
            <w:tcW w:type="dxa" w:w="1704"/>
            <w:vAlign w:val="center"/>
          </w:tcPr>
          <w:p>
            <w:pPr>
              <w:jc w:val="center"/>
            </w:pPr>
            <w:r/>
            <w:r>
              <w:rPr>
                <w:rFonts w:ascii="Times New Roman" w:hAnsi="Times New Roman"/>
                <w:b w:val="0"/>
                <w:sz w:val="16"/>
              </w:rPr>
              <w:t>13.011</w:t>
            </w:r>
          </w:p>
        </w:tc>
        <w:tc>
          <w:tcPr>
            <w:tcW w:type="dxa" w:w="1704"/>
            <w:vAlign w:val="center"/>
          </w:tcPr>
          <w:p>
            <w:pPr>
              <w:jc w:val="center"/>
            </w:pPr>
            <w:r/>
            <w:r>
              <w:rPr>
                <w:rFonts w:ascii="Times New Roman" w:hAnsi="Times New Roman"/>
                <w:b w:val="0"/>
                <w:sz w:val="16"/>
              </w:rPr>
              <w:t>7.077</w:t>
            </w:r>
          </w:p>
        </w:tc>
        <w:tc>
          <w:tcPr>
            <w:tcW w:type="dxa" w:w="1704"/>
            <w:vAlign w:val="center"/>
          </w:tcPr>
          <w:p>
            <w:pPr>
              <w:jc w:val="center"/>
            </w:pPr>
            <w:r/>
            <w:r>
              <w:rPr>
                <w:rFonts w:ascii="Times New Roman" w:hAnsi="Times New Roman"/>
                <w:b w:val="0"/>
                <w:sz w:val="16"/>
              </w:rPr>
              <w:t>0.0833</w:t>
            </w:r>
          </w:p>
        </w:tc>
        <w:tc>
          <w:tcPr>
            <w:tcW w:type="dxa" w:w="1704"/>
            <w:vAlign w:val="center"/>
          </w:tcPr>
          <w:p>
            <w:pPr>
              <w:jc w:val="center"/>
            </w:pPr>
            <w:r/>
            <w:r>
              <w:rPr>
                <w:rFonts w:ascii="Times New Roman" w:hAnsi="Times New Roman"/>
                <w:b w:val="0"/>
                <w:sz w:val="16"/>
              </w:rPr>
              <w:t>0.073</w:t>
            </w:r>
          </w:p>
        </w:tc>
      </w:tr>
      <w:tr>
        <w:tc>
          <w:tcPr>
            <w:tcW w:type="dxa" w:w="1704"/>
            <w:vAlign w:val="center"/>
          </w:tcPr>
          <w:p>
            <w:pPr>
              <w:jc w:val="center"/>
            </w:pPr>
            <w:r/>
            <w:r>
              <w:rPr>
                <w:rFonts w:ascii="Times New Roman" w:hAnsi="Times New Roman"/>
                <w:b w:val="0"/>
                <w:sz w:val="16"/>
              </w:rPr>
              <w:t>A4</w:t>
            </w:r>
          </w:p>
        </w:tc>
        <w:tc>
          <w:tcPr>
            <w:tcW w:type="dxa" w:w="1704"/>
            <w:vAlign w:val="center"/>
          </w:tcPr>
          <w:p>
            <w:pPr>
              <w:jc w:val="center"/>
            </w:pPr>
            <w:r/>
            <w:r>
              <w:rPr>
                <w:rFonts w:ascii="Times New Roman" w:hAnsi="Times New Roman"/>
                <w:b w:val="0"/>
                <w:sz w:val="16"/>
              </w:rPr>
              <w:t>17.452</w:t>
            </w:r>
          </w:p>
        </w:tc>
        <w:tc>
          <w:tcPr>
            <w:tcW w:type="dxa" w:w="1704"/>
            <w:vAlign w:val="center"/>
          </w:tcPr>
          <w:p>
            <w:pPr>
              <w:jc w:val="center"/>
            </w:pPr>
            <w:r/>
            <w:r>
              <w:rPr>
                <w:rFonts w:ascii="Times New Roman" w:hAnsi="Times New Roman"/>
                <w:b w:val="0"/>
                <w:sz w:val="16"/>
              </w:rPr>
              <w:t>13.011</w:t>
            </w:r>
          </w:p>
        </w:tc>
        <w:tc>
          <w:tcPr>
            <w:tcW w:type="dxa" w:w="1704"/>
            <w:vAlign w:val="center"/>
          </w:tcPr>
          <w:p>
            <w:pPr>
              <w:jc w:val="center"/>
            </w:pPr>
            <w:r/>
            <w:r>
              <w:rPr>
                <w:rFonts w:ascii="Times New Roman" w:hAnsi="Times New Roman"/>
                <w:b w:val="0"/>
                <w:sz w:val="16"/>
              </w:rPr>
              <w:t>7.075</w:t>
            </w:r>
          </w:p>
        </w:tc>
        <w:tc>
          <w:tcPr>
            <w:tcW w:type="dxa" w:w="1704"/>
            <w:vAlign w:val="center"/>
          </w:tcPr>
          <w:p>
            <w:pPr>
              <w:jc w:val="center"/>
            </w:pPr>
            <w:r/>
            <w:r>
              <w:rPr>
                <w:rFonts w:ascii="Times New Roman" w:hAnsi="Times New Roman"/>
                <w:b w:val="0"/>
                <w:sz w:val="16"/>
              </w:rPr>
              <w:t>0.0828</w:t>
            </w:r>
          </w:p>
        </w:tc>
        <w:tc>
          <w:tcPr>
            <w:tcW w:type="dxa" w:w="1704"/>
            <w:vAlign w:val="center"/>
          </w:tcPr>
          <w:p>
            <w:pPr>
              <w:jc w:val="center"/>
            </w:pPr>
            <w:r/>
            <w:r>
              <w:rPr>
                <w:rFonts w:ascii="Times New Roman" w:hAnsi="Times New Roman"/>
                <w:b w:val="0"/>
                <w:sz w:val="16"/>
              </w:rPr>
              <w:t>0.350</w:t>
            </w:r>
          </w:p>
        </w:tc>
      </w:tr>
      <w:tr>
        <w:tc>
          <w:tcPr>
            <w:tcW w:type="dxa" w:w="1704"/>
            <w:vAlign w:val="center"/>
          </w:tcPr>
          <w:p>
            <w:pPr>
              <w:jc w:val="center"/>
            </w:pPr>
            <w:r/>
            <w:r>
              <w:rPr>
                <w:rFonts w:ascii="Times New Roman" w:hAnsi="Times New Roman"/>
                <w:b w:val="0"/>
                <w:sz w:val="16"/>
              </w:rPr>
              <w:t>O2</w:t>
            </w:r>
          </w:p>
        </w:tc>
        <w:tc>
          <w:tcPr>
            <w:tcW w:type="dxa" w:w="1704"/>
            <w:vAlign w:val="center"/>
          </w:tcPr>
          <w:p>
            <w:pPr>
              <w:jc w:val="center"/>
            </w:pPr>
            <w:r/>
            <w:r>
              <w:rPr>
                <w:rFonts w:ascii="Times New Roman" w:hAnsi="Times New Roman"/>
                <w:b w:val="0"/>
                <w:sz w:val="16"/>
              </w:rPr>
              <w:t>17.096</w:t>
            </w:r>
          </w:p>
        </w:tc>
        <w:tc>
          <w:tcPr>
            <w:tcW w:type="dxa" w:w="1704"/>
            <w:vAlign w:val="center"/>
          </w:tcPr>
          <w:p>
            <w:pPr>
              <w:jc w:val="center"/>
            </w:pPr>
            <w:r/>
            <w:r>
              <w:rPr>
                <w:rFonts w:ascii="Times New Roman" w:hAnsi="Times New Roman"/>
                <w:b w:val="0"/>
                <w:sz w:val="16"/>
              </w:rPr>
              <w:t>13.016</w:t>
            </w:r>
          </w:p>
        </w:tc>
        <w:tc>
          <w:tcPr>
            <w:tcW w:type="dxa" w:w="1704"/>
            <w:vAlign w:val="center"/>
          </w:tcPr>
          <w:p>
            <w:pPr>
              <w:jc w:val="center"/>
            </w:pPr>
            <w:r/>
            <w:r>
              <w:rPr>
                <w:rFonts w:ascii="Times New Roman" w:hAnsi="Times New Roman"/>
                <w:b w:val="0"/>
                <w:sz w:val="16"/>
              </w:rPr>
              <w:t>7.050</w:t>
            </w:r>
          </w:p>
        </w:tc>
        <w:tc>
          <w:tcPr>
            <w:tcW w:type="dxa" w:w="1704"/>
            <w:vAlign w:val="center"/>
          </w:tcPr>
          <w:p>
            <w:pPr>
              <w:jc w:val="center"/>
            </w:pPr>
            <w:r/>
            <w:r>
              <w:rPr>
                <w:rFonts w:ascii="Times New Roman" w:hAnsi="Times New Roman"/>
                <w:b w:val="0"/>
                <w:sz w:val="16"/>
              </w:rPr>
              <w:t>0.0861</w:t>
            </w:r>
          </w:p>
        </w:tc>
        <w:tc>
          <w:tcPr>
            <w:tcW w:type="dxa" w:w="1704"/>
            <w:vAlign w:val="center"/>
          </w:tcPr>
          <w:p>
            <w:pPr>
              <w:jc w:val="center"/>
            </w:pPr>
            <w:r/>
            <w:r>
              <w:rPr>
                <w:rFonts w:ascii="Times New Roman" w:hAnsi="Times New Roman"/>
                <w:b w:val="0"/>
                <w:sz w:val="16"/>
              </w:rPr>
              <w:t>0.181</w:t>
            </w:r>
          </w:p>
        </w:tc>
      </w:tr>
    </w:tbl>
    <w:p/>
    <w:p>
      <w:pPr>
        <w:pStyle w:val="BodyText"/>
        <w:spacing w:after="60"/>
        <w:ind w:firstLine="259"/>
      </w:pPr>
      <w:r>
        <w:rPr>
          <w:i w:val="0"/>
        </w:rPr>
        <w:t>A4 is effectively matched to H2 on mean goodput and loss, with a small latency increase of about 0.09 ms in the aggregate record. The value of the learned memory appears more clearly against A2: the benchmark record reports an approximately 0.183 Mbps goodput increase, 1.39 percentage-point loss reduction, and about 10.3 percentage points fewer safety vetoes for A4 in the mixed scenario comparison. Against H2, the near-zero outcome difference is itself informative: the memory does not create a large benefit when the capacity-aware base policy already chooses the correct bounded parameter.</w:t>
      </w:r>
    </w:p>
    <w:p>
      <w:pPr>
        <w:pStyle w:val="BodyText"/>
        <w:spacing w:after="60"/>
        <w:ind w:firstLine="259"/>
      </w:pPr>
      <w:r>
        <w:rPr>
          <w:i w:val="0"/>
        </w:rPr>
        <w:t>The scenario-level paired comparisons show that improvement is workload-dependent. In the mixed scenario, A4 versus H2 has a mean latency difference of +0.261 ms (95% CI [0.175, 0.347]) and a loss difference of −0.0026 percentage points (95% CI [−0.0105, 0.0057]). Against the older A2 policy, the mixed comparison is materially stronger. This supports reporting the memory as a stabilizing refinement and not as a universal performance multiplier.</w:t>
      </w:r>
    </w:p>
    <w:p>
      <w:pPr>
        <w:pStyle w:val="Heading1"/>
        <w:keepNext/>
      </w:pPr>
      <w:r>
        <w:t>VI. Safety, Reproducibility, and Failure Semantics</w:t>
      </w:r>
    </w:p>
    <w:p>
      <w:pPr>
        <w:pStyle w:val="BodyText"/>
        <w:spacing w:after="60"/>
        <w:ind w:firstLine="259"/>
      </w:pPr>
      <w:r>
        <w:rPr>
          <w:i w:val="0"/>
        </w:rPr>
        <w:t>The evaluation pipeline verifies conservation for every simulated window and repairs only the documented 1-kbps floating-point boundary case needed to preserve the strict 20% drop limit. The benchmark protocol freezes traces before primary evaluation, keeps controllers on identical traffic, records provenance as offline simulation, and stores the environment and protocol metadata in summary.json.</w:t>
      </w:r>
    </w:p>
    <w:p>
      <w:pPr>
        <w:pStyle w:val="BodyText"/>
        <w:spacing w:after="60"/>
        <w:ind w:firstLine="259"/>
      </w:pPr>
      <w:r>
        <w:rPr>
          <w:i w:val="0"/>
        </w:rPr>
        <w:t>Failure semantics are explicit. A missing provider response, malformed proposal, unsupported action, unsafe rate limit, or unsafe reroute does not become a success-shaped learned record. The controller either uses the deterministic fallback or installs no-op. This separation is essential for interpreting memory: a veto is evidence about proposal feasibility, while a reward is evidence about an action that actually passed validation.</w:t>
      </w:r>
    </w:p>
    <w:p>
      <w:pPr>
        <w:pStyle w:val="Heading1"/>
        <w:keepNext/>
      </w:pPr>
      <w:r>
        <w:t>VII. Limitations and Threats to Validity</w:t>
      </w:r>
    </w:p>
    <w:p>
      <w:pPr>
        <w:pStyle w:val="ListBullet"/>
        <w:spacing w:after="20"/>
        <w:ind w:left="259"/>
      </w:pPr>
      <w:r>
        <w:t>The primary network evidence is a deterministic fluid simulation, not a physical switch or production traffic trace.</w:t>
      </w:r>
    </w:p>
    <w:p>
      <w:pPr>
        <w:pStyle w:val="ListBullet"/>
        <w:spacing w:after="20"/>
        <w:ind w:left="259"/>
      </w:pPr>
      <w:r>
        <w:t>Ten held-out seeds per scenario are useful for paired evaluation but are not enough to establish broad real-world generalization.</w:t>
      </w:r>
    </w:p>
    <w:p>
      <w:pPr>
        <w:pStyle w:val="ListBullet"/>
        <w:spacing w:after="20"/>
        <w:ind w:left="259"/>
      </w:pPr>
      <w:r>
        <w:t>The learned action space is intentionally small; results do not show that the agent can safely discover arbitrary topology changes.</w:t>
      </w:r>
    </w:p>
    <w:p>
      <w:pPr>
        <w:pStyle w:val="ListBullet"/>
        <w:spacing w:after="20"/>
        <w:ind w:left="259"/>
      </w:pPr>
      <w:r>
        <w:t>Aggregate A4-versus-H2 differences are small in several scenarios, so claims should emphasize bounded adaptation and safety rather than large average gains.</w:t>
      </w:r>
    </w:p>
    <w:p>
      <w:pPr>
        <w:pStyle w:val="ListBullet"/>
        <w:spacing w:after="20"/>
        <w:ind w:left="259"/>
      </w:pPr>
      <w:r>
        <w:t>Provider latency measurements and network-quality simulation are separate evidence streams; they should not be combined into one performance number.</w:t>
      </w:r>
    </w:p>
    <w:p>
      <w:pPr>
        <w:pStyle w:val="Heading1"/>
        <w:keepNext/>
      </w:pPr>
      <w:r>
        <w:t>VIII. Conclusion</w:t>
      </w:r>
    </w:p>
    <w:p>
      <w:pPr>
        <w:pStyle w:val="BodyText"/>
        <w:spacing w:after="60"/>
        <w:ind w:firstLine="259"/>
      </w:pPr>
      <w:r>
        <w:rPr>
          <w:i w:val="0"/>
        </w:rPr>
        <w:t>SELF-X demonstrates a defensible pattern for a self-improving SDN agent. Experience is retained as measured episodes, retrieval is restricted to compatible contexts, improvement is limited to a small parameter set, and every candidate remains subject to a deterministic fail-closed gate. The Revision 4 results show that this design improves on the original embedding memory while staying close to a strong capacity-aware no-memory baseline. The practical lesson is that safe self-improvement is less about increasing action freedom and more about making the evidence boundary, parameter boundary, and safety boundary explicit.</w:t>
      </w:r>
    </w:p>
    <w:p>
      <w:pPr>
        <w:pStyle w:val="Heading1"/>
        <w:keepNext/>
      </w:pPr>
      <w:r>
        <w:t>References</w:t>
      </w:r>
    </w:p>
    <w:p>
      <w:pPr>
        <w:pStyle w:val="BodyText"/>
        <w:spacing w:after="40"/>
        <w:ind w:left="259" w:hanging="259"/>
      </w:pPr>
      <w:r>
        <w:t>[1] SELF-X project, “System Architecture and Engineering Navigation,” selfx/docs/ARCHITECTURE.md, 2026.</w:t>
      </w:r>
    </w:p>
    <w:p>
      <w:pPr>
        <w:pStyle w:val="BodyText"/>
        <w:spacing w:after="40"/>
        <w:ind w:left="259" w:hanging="259"/>
      </w:pPr>
      <w:r>
        <w:t>[2] SELF-X project, “Revision 4 Benchmark Protocol and Comprehensive Empirical Results,” selfx/docs/BENCHMARKS_V4.md, 2026.</w:t>
      </w:r>
    </w:p>
    <w:p>
      <w:pPr>
        <w:pStyle w:val="BodyText"/>
        <w:spacing w:after="40"/>
        <w:ind w:left="259" w:hanging="259"/>
      </w:pPr>
      <w:r>
        <w:t>[3] SELF-X project, “SELF-X Experimental Methodology, Formal Derivations, and Conservation Laws,” selfx/docs/EXPERIMENTS.md, 2026.</w:t>
      </w:r>
    </w:p>
    <w:p>
      <w:pPr>
        <w:pStyle w:val="BodyText"/>
        <w:spacing w:after="40"/>
        <w:ind w:left="259" w:hanging="259"/>
      </w:pPr>
      <w:r>
        <w:t>[4] SELF-X project, “Revision 3 Adaptive Memory and Latency Benchmarks,” selfx/docs/BENCHMARKS_V3.md, 2026.</w:t>
      </w:r>
    </w:p>
    <w:p>
      <w:pPr>
        <w:pStyle w:val="BodyText"/>
        <w:spacing w:after="40"/>
        <w:ind w:left="259" w:hanging="259"/>
      </w:pPr>
      <w:r>
        <w:t>[5] SELF-X implementation, loss-aware memory and safety modules, selfx/agent/loss_aware_memory.py and selfx/safety.py, 2026.</w:t>
      </w:r>
    </w:p>
    <w:p>
      <w:pPr>
        <w:pStyle w:val="BodyText"/>
        <w:spacing w:after="40"/>
        <w:ind w:left="259" w:hanging="259"/>
      </w:pPr>
      <w:r>
        <w:t>[6] SELF-X benchmark artifact, selfx/output/benchmarks/v4/summary.json, created 2026-10-20.</w:t>
      </w:r>
    </w:p>
    <w:sectPr w:rsidR="00FC693F" w:rsidRPr="0006063C" w:rsidSect="00034616">
      <w:pgSz w:w="12240" w:h="15840"/>
      <w:pgMar w:top="936" w:right="1008" w:bottom="936"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SELF-X | IEEE-style technical report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Times New Roman" w:hAnsi="Times New Roman"/>
      <w:b/>
      <w:bCs/>
      <w:color w:val="1F4E79"/>
      <w:sz w:val="2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Times New Roman" w:hAnsi="Times New Roman"/>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SELF-X: A Loss-Aware Self-Improving Agent for Safe SDN Control</dc:title>
  <dc:subject>IEEE-style report focused on self-improving agent work</dc:subject>
  <dc:creator>Team SDN_07</dc:creator>
  <cp:keywords>SELF-X, SDN, self-improving agent, episodic memory, safety</cp:keywords>
  <dc:description>generated by python-docx</dc:description>
  <cp:lastModifiedBy/>
  <cp:revision>1</cp:revision>
  <dcterms:created xsi:type="dcterms:W3CDTF">2013-12-23T23:15:00Z</dcterms:created>
  <dcterms:modified xsi:type="dcterms:W3CDTF">2013-12-23T23:15:00Z</dcterms:modified>
  <cp:category/>
</cp:coreProperties>
</file>