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Medical Insurance Claim Fraud Detection</w:t>
      </w:r>
    </w:p>
    <w:p>
      <w:pPr>
        <w:pStyle w:val="Subtitle"/>
        <w:widowControl/>
      </w:pPr>
      <w:r>
        <w:t>Technical Project Report for Approach 1 and Approach 2</w:t>
      </w:r>
    </w:p>
    <w:p>
      <w:pPr>
        <w:widowControl/>
      </w:pPr>
      <w:r>
        <w:t>20 October 2026</w:t>
      </w:r>
    </w:p>
    <w:p>
      <w:pPr>
        <w:pStyle w:val="Heading1"/>
      </w:pPr>
      <w:r>
        <w:t>Project outcome</w:t>
      </w:r>
    </w:p>
    <w:p>
      <w:pPr>
        <w:widowControl/>
      </w:pPr>
      <w:r>
        <w:t>The project compares five classical classifiers in Approach 1 with three neural classifiers in Approach 2. It includes a reproducible training and evaluation pipeline, 32 fitted model and experiment combinations, an interactive website, a research manuscript and a presentation. All result tables derive from the experiment artifacts generated on 20 October 2026.</w:t>
      </w:r>
    </w:p>
    <w:p>
      <w:pPr>
        <w:widowControl/>
      </w:pPr>
      <w:r>
        <w:t>The default website configuration uses Random Forest without Cluster. On the random test split, it flags 39 of 40 fraud cases and no legitimate cases at threshold 0.4167. Its AP is 1.0000 and F1 is 0.9873. Removing claim amount as well reduces its AP to 0.2066. This dependency is central to interpreting the project.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488"/>
      </w:tblGrid>
      <w:tr>
        <w:trPr>
          <w:tblHeader/>
          <w:cantSplit/>
        </w:trPr>
        <w:tc>
          <w:tcPr>
            <w:tcW w:type="dxa" w:w="2088"/>
            <w:vAlign w:val="center"/>
            <w:shd w:fill="183B4A"/>
            <w:tcMar>
              <w:top w:w="80" w:type="dxa"/>
              <w:bottom w:w="80" w:type="dxa"/>
              <w:left w:w="80" w:type="dxa"/>
              <w:right w:w="80" w:type="dxa"/>
            </w:tcMar>
          </w:tcPr>
          <w:p>
            <w:pPr>
              <w:spacing w:after="40" w:before="40" w:line="252" w:lineRule="auto"/>
              <w:jc w:val="left"/>
            </w:pPr>
            <w:r>
              <w:rPr>
                <w:b/>
                <w:color w:val="FFFFFF"/>
                <w:sz w:val="18"/>
              </w:rPr>
              <w:t>Component</w:t>
            </w:r>
          </w:p>
        </w:tc>
        <w:tc>
          <w:tcPr>
            <w:tcW w:type="dxa" w:w="7488"/>
            <w:vAlign w:val="center"/>
            <w:shd w:fill="183B4A"/>
            <w:tcMar>
              <w:top w:w="80" w:type="dxa"/>
              <w:bottom w:w="80" w:type="dxa"/>
              <w:left w:w="80" w:type="dxa"/>
              <w:right w:w="80" w:type="dxa"/>
            </w:tcMar>
          </w:tcPr>
          <w:p>
            <w:pPr>
              <w:spacing w:after="40" w:before="40" w:line="252" w:lineRule="auto"/>
              <w:jc w:val="center"/>
            </w:pPr>
            <w:r>
              <w:rPr>
                <w:b/>
                <w:color w:val="FFFFFF"/>
                <w:sz w:val="18"/>
              </w:rPr>
              <w:t>Delivered scope</w:t>
            </w:r>
          </w:p>
        </w:tc>
      </w:tr>
      <w:tr>
        <w:trPr>
          <w:cantSplit/>
        </w:trPr>
        <w:tc>
          <w:tcPr>
            <w:tcW w:type="dxa" w:w="2088"/>
            <w:vAlign w:val="center"/>
            <w:shd w:fill="FFFFFF"/>
            <w:tcMar>
              <w:top w:w="80" w:type="dxa"/>
              <w:bottom w:w="80" w:type="dxa"/>
              <w:left w:w="80" w:type="dxa"/>
              <w:right w:w="80" w:type="dxa"/>
            </w:tcMar>
          </w:tcPr>
          <w:p>
            <w:pPr>
              <w:spacing w:after="40" w:before="40" w:line="252" w:lineRule="auto"/>
              <w:jc w:val="left"/>
            </w:pPr>
            <w:r>
              <w:rPr>
                <w:b w:val="0"/>
                <w:color w:val="000000"/>
                <w:sz w:val="18"/>
              </w:rPr>
              <w:t>Approach 1</w:t>
            </w:r>
          </w:p>
        </w:tc>
        <w:tc>
          <w:tcPr>
            <w:tcW w:type="dxa" w:w="7488"/>
            <w:vAlign w:val="center"/>
            <w:shd w:fill="FFFFFF"/>
            <w:tcMar>
              <w:top w:w="80" w:type="dxa"/>
              <w:bottom w:w="80" w:type="dxa"/>
              <w:left w:w="80" w:type="dxa"/>
              <w:right w:w="80" w:type="dxa"/>
            </w:tcMar>
          </w:tcPr>
          <w:p>
            <w:pPr>
              <w:spacing w:after="40" w:before="40" w:line="252" w:lineRule="auto"/>
              <w:jc w:val="center"/>
            </w:pPr>
            <w:r>
              <w:rPr>
                <w:b w:val="0"/>
                <w:color w:val="000000"/>
                <w:sz w:val="18"/>
              </w:rPr>
              <w:t>Logistic Regression, Random Forest, XGBoost, SVM, histogram Gradient Boosting</w:t>
            </w:r>
          </w:p>
        </w:tc>
      </w:tr>
      <w:tr>
        <w:trPr>
          <w:cantSplit/>
        </w:trPr>
        <w:tc>
          <w:tcPr>
            <w:tcW w:type="dxa" w:w="2088"/>
            <w:vAlign w:val="center"/>
            <w:shd w:fill="F1F5F6"/>
            <w:tcMar>
              <w:top w:w="80" w:type="dxa"/>
              <w:bottom w:w="80" w:type="dxa"/>
              <w:left w:w="80" w:type="dxa"/>
              <w:right w:w="80" w:type="dxa"/>
            </w:tcMar>
          </w:tcPr>
          <w:p>
            <w:pPr>
              <w:spacing w:after="40" w:before="40" w:line="252" w:lineRule="auto"/>
              <w:jc w:val="left"/>
            </w:pPr>
            <w:r>
              <w:rPr>
                <w:b w:val="0"/>
                <w:color w:val="000000"/>
                <w:sz w:val="18"/>
              </w:rPr>
              <w:t>Approach 2</w:t>
            </w:r>
          </w:p>
        </w:tc>
        <w:tc>
          <w:tcPr>
            <w:tcW w:type="dxa" w:w="7488"/>
            <w:vAlign w:val="center"/>
            <w:shd w:fill="F1F5F6"/>
            <w:tcMar>
              <w:top w:w="80" w:type="dxa"/>
              <w:bottom w:w="80" w:type="dxa"/>
              <w:left w:w="80" w:type="dxa"/>
              <w:right w:w="80" w:type="dxa"/>
            </w:tcMar>
          </w:tcPr>
          <w:p>
            <w:pPr>
              <w:spacing w:after="40" w:before="40" w:line="252" w:lineRule="auto"/>
              <w:jc w:val="center"/>
            </w:pPr>
            <w:r>
              <w:rPr>
                <w:b w:val="0"/>
                <w:color w:val="000000"/>
                <w:sz w:val="18"/>
              </w:rPr>
              <w:t>MLP, Residual MLP and 1D CNN</w:t>
            </w:r>
          </w:p>
        </w:tc>
      </w:tr>
      <w:tr>
        <w:trPr>
          <w:cantSplit/>
        </w:trPr>
        <w:tc>
          <w:tcPr>
            <w:tcW w:type="dxa" w:w="2088"/>
            <w:vAlign w:val="center"/>
            <w:shd w:fill="FFFFFF"/>
            <w:tcMar>
              <w:top w:w="80" w:type="dxa"/>
              <w:bottom w:w="80" w:type="dxa"/>
              <w:left w:w="80" w:type="dxa"/>
              <w:right w:w="80" w:type="dxa"/>
            </w:tcMar>
          </w:tcPr>
          <w:p>
            <w:pPr>
              <w:spacing w:after="40" w:before="40" w:line="252" w:lineRule="auto"/>
              <w:jc w:val="left"/>
            </w:pPr>
            <w:r>
              <w:rPr>
                <w:b w:val="0"/>
                <w:color w:val="000000"/>
                <w:sz w:val="18"/>
              </w:rPr>
              <w:t>Data</w:t>
            </w:r>
          </w:p>
        </w:tc>
        <w:tc>
          <w:tcPr>
            <w:tcW w:type="dxa" w:w="7488"/>
            <w:vAlign w:val="center"/>
            <w:shd w:fill="FFFFFF"/>
            <w:tcMar>
              <w:top w:w="80" w:type="dxa"/>
              <w:bottom w:w="80" w:type="dxa"/>
              <w:left w:w="80" w:type="dxa"/>
              <w:right w:w="80" w:type="dxa"/>
            </w:tcMar>
          </w:tcPr>
          <w:p>
            <w:pPr>
              <w:spacing w:after="40" w:before="40" w:line="252" w:lineRule="auto"/>
              <w:jc w:val="center"/>
            </w:pPr>
            <w:r>
              <w:rPr>
                <w:b w:val="0"/>
                <w:color w:val="000000"/>
                <w:sz w:val="18"/>
              </w:rPr>
              <w:t>Original workbook, shared partitions, feature contracts and row manifests</w:t>
            </w:r>
          </w:p>
        </w:tc>
      </w:tr>
      <w:tr>
        <w:trPr>
          <w:cantSplit/>
        </w:trPr>
        <w:tc>
          <w:tcPr>
            <w:tcW w:type="dxa" w:w="2088"/>
            <w:vAlign w:val="center"/>
            <w:shd w:fill="F1F5F6"/>
            <w:tcMar>
              <w:top w:w="80" w:type="dxa"/>
              <w:bottom w:w="80" w:type="dxa"/>
              <w:left w:w="80" w:type="dxa"/>
              <w:right w:w="80" w:type="dxa"/>
            </w:tcMar>
          </w:tcPr>
          <w:p>
            <w:pPr>
              <w:spacing w:after="40" w:before="40" w:line="252" w:lineRule="auto"/>
              <w:jc w:val="left"/>
            </w:pPr>
            <w:r>
              <w:rPr>
                <w:b w:val="0"/>
                <w:color w:val="000000"/>
                <w:sz w:val="18"/>
              </w:rPr>
              <w:t>Evaluation</w:t>
            </w:r>
          </w:p>
        </w:tc>
        <w:tc>
          <w:tcPr>
            <w:tcW w:type="dxa" w:w="7488"/>
            <w:vAlign w:val="center"/>
            <w:shd w:fill="F1F5F6"/>
            <w:tcMar>
              <w:top w:w="80" w:type="dxa"/>
              <w:bottom w:w="80" w:type="dxa"/>
              <w:left w:w="80" w:type="dxa"/>
              <w:right w:w="80" w:type="dxa"/>
            </w:tcMar>
          </w:tcPr>
          <w:p>
            <w:pPr>
              <w:spacing w:after="40" w:before="40" w:line="252" w:lineRule="auto"/>
              <w:jc w:val="center"/>
            </w:pPr>
            <w:r>
              <w:rPr>
                <w:b w:val="0"/>
                <w:color w:val="000000"/>
                <w:sz w:val="18"/>
              </w:rPr>
              <w:t>Default and validation thresholds, amount ablation, temporal assessment and uncertainty</w:t>
            </w:r>
          </w:p>
        </w:tc>
      </w:tr>
      <w:tr>
        <w:trPr>
          <w:cantSplit/>
        </w:trPr>
        <w:tc>
          <w:tcPr>
            <w:tcW w:type="dxa" w:w="2088"/>
            <w:vAlign w:val="center"/>
            <w:shd w:fill="FFFFFF"/>
            <w:tcMar>
              <w:top w:w="80" w:type="dxa"/>
              <w:bottom w:w="80" w:type="dxa"/>
              <w:left w:w="80" w:type="dxa"/>
              <w:right w:w="80" w:type="dxa"/>
            </w:tcMar>
          </w:tcPr>
          <w:p>
            <w:pPr>
              <w:spacing w:after="40" w:before="40" w:line="252" w:lineRule="auto"/>
              <w:jc w:val="left"/>
            </w:pPr>
            <w:r>
              <w:rPr>
                <w:b w:val="0"/>
                <w:color w:val="000000"/>
                <w:sz w:val="18"/>
              </w:rPr>
              <w:t>Demonstration</w:t>
            </w:r>
          </w:p>
        </w:tc>
        <w:tc>
          <w:tcPr>
            <w:tcW w:type="dxa" w:w="7488"/>
            <w:vAlign w:val="center"/>
            <w:shd w:fill="FFFFFF"/>
            <w:tcMar>
              <w:top w:w="80" w:type="dxa"/>
              <w:bottom w:w="80" w:type="dxa"/>
              <w:left w:w="80" w:type="dxa"/>
              <w:right w:w="80" w:type="dxa"/>
            </w:tcMar>
          </w:tcPr>
          <w:p>
            <w:pPr>
              <w:spacing w:after="40" w:before="40" w:line="252" w:lineRule="auto"/>
              <w:jc w:val="center"/>
            </w:pPr>
            <w:r>
              <w:rPr>
                <w:b w:val="0"/>
                <w:color w:val="000000"/>
                <w:sz w:val="18"/>
              </w:rPr>
              <w:t>Browser inference plus local FastAPI endpoint</w:t>
            </w:r>
          </w:p>
        </w:tc>
      </w:tr>
      <w:tr>
        <w:trPr>
          <w:cantSplit/>
        </w:trPr>
        <w:tc>
          <w:tcPr>
            <w:tcW w:type="dxa" w:w="2088"/>
            <w:vAlign w:val="center"/>
            <w:shd w:fill="F1F5F6"/>
            <w:tcMar>
              <w:top w:w="80" w:type="dxa"/>
              <w:bottom w:w="80" w:type="dxa"/>
              <w:left w:w="80" w:type="dxa"/>
              <w:right w:w="80" w:type="dxa"/>
            </w:tcMar>
          </w:tcPr>
          <w:p>
            <w:pPr>
              <w:spacing w:after="40" w:before="40" w:line="252" w:lineRule="auto"/>
              <w:jc w:val="left"/>
            </w:pPr>
            <w:r>
              <w:rPr>
                <w:b w:val="0"/>
                <w:color w:val="000000"/>
                <w:sz w:val="18"/>
              </w:rPr>
              <w:t>Submission files</w:t>
            </w:r>
          </w:p>
        </w:tc>
        <w:tc>
          <w:tcPr>
            <w:tcW w:type="dxa" w:w="7488"/>
            <w:vAlign w:val="center"/>
            <w:shd w:fill="F1F5F6"/>
            <w:tcMar>
              <w:top w:w="80" w:type="dxa"/>
              <w:bottom w:w="80" w:type="dxa"/>
              <w:left w:w="80" w:type="dxa"/>
              <w:right w:w="80" w:type="dxa"/>
            </w:tcMar>
          </w:tcPr>
          <w:p>
            <w:pPr>
              <w:spacing w:after="40" w:before="40" w:line="252" w:lineRule="auto"/>
              <w:jc w:val="center"/>
            </w:pPr>
            <w:r>
              <w:rPr>
                <w:b w:val="0"/>
                <w:color w:val="000000"/>
                <w:sz w:val="18"/>
              </w:rPr>
              <w:t>Research paper, technical report and editable PowerPoint</w:t>
            </w:r>
          </w:p>
        </w:tc>
      </w:tr>
    </w:tbl>
    <w:p>
      <w:pPr>
        <w:widowControl/>
        <w:spacing w:after="0"/>
      </w:pPr>
    </w:p>
    <w:p>
      <w:pPr>
        <w:pStyle w:val="Heading1"/>
      </w:pPr>
      <w:r>
        <w:t>Reading guide</w:t>
      </w:r>
    </w:p>
    <w:p>
      <w:pPr>
        <w:widowControl/>
      </w:pPr>
      <w:r>
        <w:t>The following chapters describe the problem, dataset, preprocessing, algorithms, evaluation, results, model sensitivity, website and reproduction steps. Appendices provide the artifact map, runtime versions and references. The report treats model scores as support for human review. It does not use the score to approve or reject insurance coverage.</w:t>
      </w:r>
    </w:p>
    <w:p>
      <w:pPr>
        <w:pStyle w:val="Heading1"/>
        <w:pageBreakBefore/>
      </w:pPr>
      <w:r>
        <w:t>1 Problem and system scope</w:t>
      </w:r>
    </w:p>
    <w:p>
      <w:pPr>
        <w:widowControl/>
      </w:pPr>
      <w:r>
        <w:t>The task is supervised binary classification of structured insurance claim records. A score ranks the tendency of a claim to resemble the workbook’s Fraud class. The demonstration converts that score to a review flag only after applying the displayed threshold. The intended audience is a project evaluator assessing methodology, measured comparison and implementation.</w:t>
      </w:r>
    </w:p>
    <w:p>
      <w:pPr>
        <w:pStyle w:val="Heading2"/>
      </w:pPr>
      <w:r>
        <w:t>1 1 Functional requirements</w:t>
      </w:r>
    </w:p>
    <w:p>
      <w:pPr>
        <w:pStyle w:val="ListBullet"/>
        <w:widowControl/>
      </w:pPr>
      <w:r>
        <w:t>Train and evaluate every existing classical algorithm using reproducible paths and a shared dataset split.</w:t>
      </w:r>
    </w:p>
    <w:p>
      <w:pPr>
        <w:pStyle w:val="ListBullet"/>
        <w:widowControl/>
      </w:pPr>
      <w:r>
        <w:t>Extend the existing MLP with two supervised neural architectures, keeping Approach 2 at three algorithms.</w:t>
      </w:r>
    </w:p>
    <w:p>
      <w:pPr>
        <w:pStyle w:val="ListBullet"/>
        <w:widowControl/>
      </w:pPr>
      <w:r>
        <w:t>Fit preprocessing only on training rows and retain validation and test predictions for audit.</w:t>
      </w:r>
    </w:p>
    <w:p>
      <w:pPr>
        <w:pStyle w:val="ListBullet"/>
        <w:widowControl/>
      </w:pPr>
      <w:r>
        <w:t>Compare the original input contract with an intake contract that excludes an undocumented Cluster field.</w:t>
      </w:r>
    </w:p>
    <w:p>
      <w:pPr>
        <w:pStyle w:val="ListBullet"/>
        <w:widowControl/>
      </w:pPr>
      <w:r>
        <w:t>Provide model selection, claim entry, navigation between approaches and comparison of model outputs in one website.</w:t>
      </w:r>
    </w:p>
    <w:p>
      <w:pPr>
        <w:pStyle w:val="ListBullet"/>
        <w:widowControl/>
      </w:pPr>
      <w:r>
        <w:t>Provide consistent figures and results in a research manuscript, report and presentation.</w:t>
      </w:r>
    </w:p>
    <w:p>
      <w:pPr>
        <w:pStyle w:val="Heading2"/>
      </w:pPr>
      <w:r>
        <w:t>1 2 Implemented processing flow</w:t>
      </w:r>
    </w:p>
    <w:p>
      <w:pPr>
        <w:widowControl/>
      </w:pPr>
      <w:r>
        <w:t>The offline flow reads the workbook, audits its structure, creates source-row partitions, fits the selected preprocessor, trains the eight algorithms, selects checkpoints and thresholds on validation data, and writes test scores and metrics. Export then converts the fitted parameters and preprocessing state into browser-readable JSON. The website applies the same transformations and model functions to user input.</w:t>
      </w:r>
    </w:p>
    <w:p>
      <w:pPr>
        <w:widowControl/>
      </w:pPr>
      <w:r>
        <w:t>The optional local service loads the saved Python models and exposes /api/health and /api/predict. Static files and the API share http://127.0.0.1:8080. The hosted static website evaluates models in the visitor’s browser and therefore does not depend on a Python server being online.</w:t>
      </w:r>
    </w:p>
    <w:p>
      <w:pPr>
        <w:pStyle w:val="Heading1"/>
        <w:pageBreakBefore/>
      </w:pPr>
      <w:r>
        <w:t>2 Dataset audit</w:t>
      </w:r>
    </w:p>
    <w:p>
      <w:pPr>
        <w:widowControl/>
      </w:pPr>
      <w:r>
        <w:t>The supplied workbook contains 4,500 rows and 19 columns, of which 270 labels are Fraud and 4,230 are Legitimate [1]. The repository-root copy and Approach 1 raw-data copy have identical bytes. There are no missing cells or duplicate complete rows. The source hash is recorded in dataset_audit.json and the run manifest.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00"/>
      </w:tblGrid>
      <w:tr>
        <w:trPr>
          <w:tblHeader/>
          <w:cantSplit/>
        </w:trPr>
        <w:tc>
          <w:tcPr>
            <w:tcW w:type="dxa" w:w="2376"/>
            <w:vAlign w:val="center"/>
            <w:shd w:fill="183B4A"/>
            <w:tcMar>
              <w:top w:w="80" w:type="dxa"/>
              <w:bottom w:w="80" w:type="dxa"/>
              <w:left w:w="80" w:type="dxa"/>
              <w:right w:w="80" w:type="dxa"/>
            </w:tcMar>
          </w:tcPr>
          <w:p>
            <w:pPr>
              <w:spacing w:after="40" w:before="40" w:line="252" w:lineRule="auto"/>
              <w:jc w:val="left"/>
            </w:pPr>
            <w:r>
              <w:rPr>
                <w:b/>
                <w:color w:val="FFFFFF"/>
                <w:sz w:val="18"/>
              </w:rPr>
              <w:t>Field group</w:t>
            </w:r>
          </w:p>
        </w:tc>
        <w:tc>
          <w:tcPr>
            <w:tcW w:type="dxa" w:w="7200"/>
            <w:vAlign w:val="center"/>
            <w:shd w:fill="183B4A"/>
            <w:tcMar>
              <w:top w:w="80" w:type="dxa"/>
              <w:bottom w:w="80" w:type="dxa"/>
              <w:left w:w="80" w:type="dxa"/>
              <w:right w:w="80" w:type="dxa"/>
            </w:tcMar>
          </w:tcPr>
          <w:p>
            <w:pPr>
              <w:spacing w:after="40" w:before="40" w:line="252" w:lineRule="auto"/>
              <w:jc w:val="center"/>
            </w:pPr>
            <w:r>
              <w:rPr>
                <w:b/>
                <w:color w:val="FFFFFF"/>
                <w:sz w:val="18"/>
              </w:rPr>
              <w:t>Columns and handling</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Identifiers</w:t>
            </w:r>
          </w:p>
        </w:tc>
        <w:tc>
          <w:tcPr>
            <w:tcW w:type="dxa" w:w="7200"/>
            <w:vAlign w:val="center"/>
            <w:shd w:fill="FFFFFF"/>
            <w:tcMar>
              <w:top w:w="80" w:type="dxa"/>
              <w:bottom w:w="80" w:type="dxa"/>
              <w:left w:w="80" w:type="dxa"/>
              <w:right w:w="80" w:type="dxa"/>
            </w:tcMar>
          </w:tcPr>
          <w:p>
            <w:pPr>
              <w:spacing w:after="40" w:before="40" w:line="252" w:lineRule="auto"/>
              <w:jc w:val="center"/>
            </w:pPr>
            <w:r>
              <w:rPr>
                <w:b w:val="0"/>
                <w:color w:val="000000"/>
                <w:sz w:val="18"/>
              </w:rPr>
              <w:t>ClaimID, PatientID and ProviderID are unique and excluded.</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Claim details</w:t>
            </w:r>
          </w:p>
        </w:tc>
        <w:tc>
          <w:tcPr>
            <w:tcW w:type="dxa" w:w="7200"/>
            <w:vAlign w:val="center"/>
            <w:shd w:fill="F1F5F6"/>
            <w:tcMar>
              <w:top w:w="80" w:type="dxa"/>
              <w:bottom w:w="80" w:type="dxa"/>
              <w:left w:w="80" w:type="dxa"/>
              <w:right w:w="80" w:type="dxa"/>
            </w:tcMar>
          </w:tcPr>
          <w:p>
            <w:pPr>
              <w:spacing w:after="40" w:before="40" w:line="252" w:lineRule="auto"/>
              <w:jc w:val="center"/>
            </w:pPr>
            <w:r>
              <w:rPr>
                <w:b w:val="0"/>
                <w:color w:val="000000"/>
                <w:sz w:val="18"/>
              </w:rPr>
              <w:t>ClaimAmount is retained except in the amount ablation. ClaimDate supplies year, month and weekday.</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Near unique attributes</w:t>
            </w:r>
          </w:p>
        </w:tc>
        <w:tc>
          <w:tcPr>
            <w:tcW w:type="dxa" w:w="7200"/>
            <w:vAlign w:val="center"/>
            <w:shd w:fill="FFFFFF"/>
            <w:tcMar>
              <w:top w:w="80" w:type="dxa"/>
              <w:bottom w:w="80" w:type="dxa"/>
              <w:left w:w="80" w:type="dxa"/>
              <w:right w:w="80" w:type="dxa"/>
            </w:tcMar>
          </w:tcPr>
          <w:p>
            <w:pPr>
              <w:spacing w:after="40" w:before="40" w:line="252" w:lineRule="auto"/>
              <w:jc w:val="center"/>
            </w:pPr>
            <w:r>
              <w:rPr>
                <w:b w:val="0"/>
                <w:color w:val="000000"/>
                <w:sz w:val="18"/>
              </w:rPr>
              <w:t>DiagnosisCode, ProcedureCode and ProviderLocation are excluded.</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Patient attributes</w:t>
            </w:r>
          </w:p>
        </w:tc>
        <w:tc>
          <w:tcPr>
            <w:tcW w:type="dxa" w:w="7200"/>
            <w:vAlign w:val="center"/>
            <w:shd w:fill="F1F5F6"/>
            <w:tcMar>
              <w:top w:w="80" w:type="dxa"/>
              <w:bottom w:w="80" w:type="dxa"/>
              <w:left w:w="80" w:type="dxa"/>
              <w:right w:w="80" w:type="dxa"/>
            </w:tcMar>
          </w:tcPr>
          <w:p>
            <w:pPr>
              <w:spacing w:after="40" w:before="40" w:line="252" w:lineRule="auto"/>
              <w:jc w:val="center"/>
            </w:pPr>
            <w:r>
              <w:rPr>
                <w:b w:val="0"/>
                <w:color w:val="000000"/>
                <w:sz w:val="18"/>
              </w:rPr>
              <w:t>Age, income, gender, marital status and employment status are retained.</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Categorical intake fields</w:t>
            </w:r>
          </w:p>
        </w:tc>
        <w:tc>
          <w:tcPr>
            <w:tcW w:type="dxa" w:w="7200"/>
            <w:vAlign w:val="center"/>
            <w:shd w:fill="FFFFFF"/>
            <w:tcMar>
              <w:top w:w="80" w:type="dxa"/>
              <w:bottom w:w="80" w:type="dxa"/>
              <w:left w:w="80" w:type="dxa"/>
              <w:right w:w="80" w:type="dxa"/>
            </w:tcMar>
          </w:tcPr>
          <w:p>
            <w:pPr>
              <w:spacing w:after="40" w:before="40" w:line="252" w:lineRule="auto"/>
              <w:jc w:val="center"/>
            </w:pPr>
            <w:r>
              <w:rPr>
                <w:b w:val="0"/>
                <w:color w:val="000000"/>
                <w:sz w:val="18"/>
              </w:rPr>
              <w:t>ProviderSpecialty, ClaimType and ClaimSubmissionMethod are retained.</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Post adjudication attribute</w:t>
            </w:r>
          </w:p>
        </w:tc>
        <w:tc>
          <w:tcPr>
            <w:tcW w:type="dxa" w:w="7200"/>
            <w:vAlign w:val="center"/>
            <w:shd w:fill="F1F5F6"/>
            <w:tcMar>
              <w:top w:w="80" w:type="dxa"/>
              <w:bottom w:w="80" w:type="dxa"/>
              <w:left w:w="80" w:type="dxa"/>
              <w:right w:w="80" w:type="dxa"/>
            </w:tcMar>
          </w:tcPr>
          <w:p>
            <w:pPr>
              <w:spacing w:after="40" w:before="40" w:line="252" w:lineRule="auto"/>
              <w:jc w:val="center"/>
            </w:pPr>
            <w:r>
              <w:rPr>
                <w:b w:val="0"/>
                <w:color w:val="000000"/>
                <w:sz w:val="18"/>
              </w:rPr>
              <w:t>ClaimStatus is excluded from every model.</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Undocumented feature</w:t>
            </w:r>
          </w:p>
        </w:tc>
        <w:tc>
          <w:tcPr>
            <w:tcW w:type="dxa" w:w="7200"/>
            <w:vAlign w:val="center"/>
            <w:shd w:fill="FFFFFF"/>
            <w:tcMar>
              <w:top w:w="80" w:type="dxa"/>
              <w:bottom w:w="80" w:type="dxa"/>
              <w:left w:w="80" w:type="dxa"/>
              <w:right w:w="80" w:type="dxa"/>
            </w:tcMar>
          </w:tcPr>
          <w:p>
            <w:pPr>
              <w:spacing w:after="40" w:before="40" w:line="252" w:lineRule="auto"/>
              <w:jc w:val="center"/>
            </w:pPr>
            <w:r>
              <w:rPr>
                <w:b w:val="0"/>
                <w:color w:val="000000"/>
                <w:sz w:val="18"/>
              </w:rPr>
              <w:t>Cluster is retained only for the original benchmark.</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Target</w:t>
            </w:r>
          </w:p>
        </w:tc>
        <w:tc>
          <w:tcPr>
            <w:tcW w:type="dxa" w:w="7200"/>
            <w:vAlign w:val="center"/>
            <w:shd w:fill="F1F5F6"/>
            <w:tcMar>
              <w:top w:w="80" w:type="dxa"/>
              <w:bottom w:w="80" w:type="dxa"/>
              <w:left w:w="80" w:type="dxa"/>
              <w:right w:w="80" w:type="dxa"/>
            </w:tcMar>
          </w:tcPr>
          <w:p>
            <w:pPr>
              <w:spacing w:after="40" w:before="40" w:line="252" w:lineRule="auto"/>
              <w:jc w:val="center"/>
            </w:pPr>
            <w:r>
              <w:rPr>
                <w:b w:val="0"/>
                <w:color w:val="000000"/>
                <w:sz w:val="18"/>
              </w:rPr>
              <w:t>ClaimLegitimacy maps Fraud to 1 and Legitimate to 0.</w:t>
            </w:r>
          </w:p>
        </w:tc>
      </w:tr>
    </w:tbl>
    <w:p>
      <w:pPr>
        <w:widowControl/>
        <w:spacing w:after="0"/>
      </w:pPr>
    </w:p>
    <w:p>
      <w:pPr>
        <w:pStyle w:val="Heading2"/>
      </w:pPr>
      <w:r>
        <w:t>2 1 Evidence requiring caution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2880"/>
      </w:tblGrid>
      <w:tr>
        <w:trPr>
          <w:tblHeader/>
          <w:cantSplit/>
        </w:trPr>
        <w:tc>
          <w:tcPr>
            <w:tcW w:type="dxa" w:w="2376"/>
            <w:vAlign w:val="center"/>
            <w:shd w:fill="183B4A"/>
            <w:tcMar>
              <w:top w:w="80" w:type="dxa"/>
              <w:bottom w:w="80" w:type="dxa"/>
              <w:left w:w="80" w:type="dxa"/>
              <w:right w:w="80" w:type="dxa"/>
            </w:tcMar>
          </w:tcPr>
          <w:p>
            <w:pPr>
              <w:spacing w:after="40" w:before="40" w:line="252" w:lineRule="auto"/>
              <w:jc w:val="left"/>
            </w:pPr>
            <w:r>
              <w:rPr>
                <w:b/>
                <w:color w:val="FFFFFF"/>
                <w:sz w:val="18"/>
              </w:rPr>
              <w:t>Cluster</w:t>
            </w:r>
          </w:p>
        </w:tc>
        <w:tc>
          <w:tcPr>
            <w:tcW w:type="dxa" w:w="2880"/>
            <w:vAlign w:val="center"/>
            <w:shd w:fill="183B4A"/>
            <w:tcMar>
              <w:top w:w="80" w:type="dxa"/>
              <w:bottom w:w="80" w:type="dxa"/>
              <w:left w:w="80" w:type="dxa"/>
              <w:right w:w="80" w:type="dxa"/>
            </w:tcMar>
          </w:tcPr>
          <w:p>
            <w:pPr>
              <w:spacing w:after="40" w:before="40" w:line="252" w:lineRule="auto"/>
              <w:jc w:val="center"/>
            </w:pPr>
            <w:r>
              <w:rPr>
                <w:b/>
                <w:color w:val="FFFFFF"/>
                <w:sz w:val="18"/>
              </w:rPr>
              <w:t>Fraud</w:t>
            </w:r>
          </w:p>
        </w:tc>
        <w:tc>
          <w:tcPr>
            <w:tcW w:type="dxa" w:w="2880"/>
            <w:vAlign w:val="center"/>
            <w:shd w:fill="183B4A"/>
            <w:tcMar>
              <w:top w:w="80" w:type="dxa"/>
              <w:bottom w:w="80" w:type="dxa"/>
              <w:left w:w="80" w:type="dxa"/>
              <w:right w:w="80" w:type="dxa"/>
            </w:tcMar>
          </w:tcPr>
          <w:p>
            <w:pPr>
              <w:spacing w:after="40" w:before="40" w:line="252" w:lineRule="auto"/>
              <w:jc w:val="center"/>
            </w:pPr>
            <w:r>
              <w:rPr>
                <w:b/>
                <w:color w:val="FFFFFF"/>
                <w:sz w:val="18"/>
              </w:rPr>
              <w:t>Legitimate</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0</w:t>
            </w:r>
          </w:p>
        </w:tc>
        <w:tc>
          <w:tcPr>
            <w:tcW w:type="dxa" w:w="2880"/>
            <w:vAlign w:val="center"/>
            <w:shd w:fill="FFFFFF"/>
            <w:tcMar>
              <w:top w:w="80" w:type="dxa"/>
              <w:bottom w:w="80" w:type="dxa"/>
              <w:left w:w="80" w:type="dxa"/>
              <w:right w:w="80" w:type="dxa"/>
            </w:tcMar>
          </w:tcPr>
          <w:p>
            <w:pPr>
              <w:spacing w:after="40" w:before="40" w:line="252" w:lineRule="auto"/>
              <w:jc w:val="center"/>
            </w:pPr>
            <w:r>
              <w:rPr>
                <w:b w:val="0"/>
                <w:color w:val="000000"/>
                <w:sz w:val="18"/>
              </w:rPr>
              <w:t>0</w:t>
            </w:r>
          </w:p>
        </w:tc>
        <w:tc>
          <w:tcPr>
            <w:tcW w:type="dxa" w:w="2880"/>
            <w:vAlign w:val="center"/>
            <w:shd w:fill="FFFFFF"/>
            <w:tcMar>
              <w:top w:w="80" w:type="dxa"/>
              <w:bottom w:w="80" w:type="dxa"/>
              <w:left w:w="80" w:type="dxa"/>
              <w:right w:w="80" w:type="dxa"/>
            </w:tcMar>
          </w:tcPr>
          <w:p>
            <w:pPr>
              <w:spacing w:after="40" w:before="40" w:line="252" w:lineRule="auto"/>
              <w:jc w:val="center"/>
            </w:pPr>
            <w:r>
              <w:rPr>
                <w:b w:val="0"/>
                <w:color w:val="000000"/>
                <w:sz w:val="18"/>
              </w:rPr>
              <w:t>1144</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1</w:t>
            </w:r>
          </w:p>
        </w:tc>
        <w:tc>
          <w:tcPr>
            <w:tcW w:type="dxa" w:w="2880"/>
            <w:vAlign w:val="center"/>
            <w:shd w:fill="F1F5F6"/>
            <w:tcMar>
              <w:top w:w="80" w:type="dxa"/>
              <w:bottom w:w="80" w:type="dxa"/>
              <w:left w:w="80" w:type="dxa"/>
              <w:right w:w="80" w:type="dxa"/>
            </w:tcMar>
          </w:tcPr>
          <w:p>
            <w:pPr>
              <w:spacing w:after="40" w:before="40" w:line="252" w:lineRule="auto"/>
              <w:jc w:val="center"/>
            </w:pPr>
            <w:r>
              <w:rPr>
                <w:b w:val="0"/>
                <w:color w:val="000000"/>
                <w:sz w:val="18"/>
              </w:rPr>
              <w:t>267</w:t>
            </w:r>
          </w:p>
        </w:tc>
        <w:tc>
          <w:tcPr>
            <w:tcW w:type="dxa" w:w="2880"/>
            <w:vAlign w:val="center"/>
            <w:shd w:fill="F1F5F6"/>
            <w:tcMar>
              <w:top w:w="80" w:type="dxa"/>
              <w:bottom w:w="80" w:type="dxa"/>
              <w:left w:w="80" w:type="dxa"/>
              <w:right w:w="80" w:type="dxa"/>
            </w:tcMar>
          </w:tcPr>
          <w:p>
            <w:pPr>
              <w:spacing w:after="40" w:before="40" w:line="252" w:lineRule="auto"/>
              <w:jc w:val="center"/>
            </w:pPr>
            <w:r>
              <w:rPr>
                <w:b w:val="0"/>
                <w:color w:val="000000"/>
                <w:sz w:val="18"/>
              </w:rPr>
              <w:t>833</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2</w:t>
            </w:r>
          </w:p>
        </w:tc>
        <w:tc>
          <w:tcPr>
            <w:tcW w:type="dxa" w:w="2880"/>
            <w:vAlign w:val="center"/>
            <w:shd w:fill="FFFFFF"/>
            <w:tcMar>
              <w:top w:w="80" w:type="dxa"/>
              <w:bottom w:w="80" w:type="dxa"/>
              <w:left w:w="80" w:type="dxa"/>
              <w:right w:w="80" w:type="dxa"/>
            </w:tcMar>
          </w:tcPr>
          <w:p>
            <w:pPr>
              <w:spacing w:after="40" w:before="40" w:line="252" w:lineRule="auto"/>
              <w:jc w:val="center"/>
            </w:pPr>
            <w:r>
              <w:rPr>
                <w:b w:val="0"/>
                <w:color w:val="000000"/>
                <w:sz w:val="18"/>
              </w:rPr>
              <w:t>0</w:t>
            </w:r>
          </w:p>
        </w:tc>
        <w:tc>
          <w:tcPr>
            <w:tcW w:type="dxa" w:w="2880"/>
            <w:vAlign w:val="center"/>
            <w:shd w:fill="FFFFFF"/>
            <w:tcMar>
              <w:top w:w="80" w:type="dxa"/>
              <w:bottom w:w="80" w:type="dxa"/>
              <w:left w:w="80" w:type="dxa"/>
              <w:right w:w="80" w:type="dxa"/>
            </w:tcMar>
          </w:tcPr>
          <w:p>
            <w:pPr>
              <w:spacing w:after="40" w:before="40" w:line="252" w:lineRule="auto"/>
              <w:jc w:val="center"/>
            </w:pPr>
            <w:r>
              <w:rPr>
                <w:b w:val="0"/>
                <w:color w:val="000000"/>
                <w:sz w:val="18"/>
              </w:rPr>
              <w:t>1104</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3</w:t>
            </w:r>
          </w:p>
        </w:tc>
        <w:tc>
          <w:tcPr>
            <w:tcW w:type="dxa" w:w="2880"/>
            <w:vAlign w:val="center"/>
            <w:shd w:fill="F1F5F6"/>
            <w:tcMar>
              <w:top w:w="80" w:type="dxa"/>
              <w:bottom w:w="80" w:type="dxa"/>
              <w:left w:w="80" w:type="dxa"/>
              <w:right w:w="80" w:type="dxa"/>
            </w:tcMar>
          </w:tcPr>
          <w:p>
            <w:pPr>
              <w:spacing w:after="40" w:before="40" w:line="252" w:lineRule="auto"/>
              <w:jc w:val="center"/>
            </w:pPr>
            <w:r>
              <w:rPr>
                <w:b w:val="0"/>
                <w:color w:val="000000"/>
                <w:sz w:val="18"/>
              </w:rPr>
              <w:t>3</w:t>
            </w:r>
          </w:p>
        </w:tc>
        <w:tc>
          <w:tcPr>
            <w:tcW w:type="dxa" w:w="2880"/>
            <w:vAlign w:val="center"/>
            <w:shd w:fill="F1F5F6"/>
            <w:tcMar>
              <w:top w:w="80" w:type="dxa"/>
              <w:bottom w:w="80" w:type="dxa"/>
              <w:left w:w="80" w:type="dxa"/>
              <w:right w:w="80" w:type="dxa"/>
            </w:tcMar>
          </w:tcPr>
          <w:p>
            <w:pPr>
              <w:spacing w:after="40" w:before="40" w:line="252" w:lineRule="auto"/>
              <w:jc w:val="center"/>
            </w:pPr>
            <w:r>
              <w:rPr>
                <w:b w:val="0"/>
                <w:color w:val="000000"/>
                <w:sz w:val="18"/>
              </w:rPr>
              <w:t>1149</w:t>
            </w:r>
          </w:p>
        </w:tc>
      </w:tr>
    </w:tbl>
    <w:p>
      <w:pPr>
        <w:widowControl/>
        <w:spacing w:after="0"/>
      </w:pPr>
    </w:p>
    <w:p>
      <w:pPr>
        <w:widowControl/>
      </w:pPr>
      <w:r>
        <w:t>Cluster 1 contains 98.89% of the fraud records. All fraud claim amounts exceed 7,465.06 source units. The mean fraud amount is 8,733.57, compared with 4,776.80 for legitimate claims. Legitimate amounts overlap the fraud range. Dataset origin, currency, label adjudication and field timing are undocumented, so these patterns may reflect the collection or construction process.</w:t>
      </w:r>
    </w:p>
    <w:p>
      <w:pPr>
        <w:pStyle w:val="Heading1"/>
        <w:pageBreakBefore/>
      </w:pPr>
      <w:r>
        <w:t>3 Preprocessing and partition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728"/>
        <w:gridCol w:w="5400"/>
      </w:tblGrid>
      <w:tr>
        <w:trPr>
          <w:tblHeader/>
          <w:cantSplit/>
        </w:trPr>
        <w:tc>
          <w:tcPr>
            <w:tcW w:type="dxa" w:w="2448"/>
            <w:vAlign w:val="center"/>
            <w:shd w:fill="183B4A"/>
            <w:tcMar>
              <w:top w:w="80" w:type="dxa"/>
              <w:bottom w:w="80" w:type="dxa"/>
              <w:left w:w="80" w:type="dxa"/>
              <w:right w:w="80" w:type="dxa"/>
            </w:tcMar>
          </w:tcPr>
          <w:p>
            <w:pPr>
              <w:spacing w:after="40" w:before="40" w:line="252" w:lineRule="auto"/>
              <w:jc w:val="left"/>
            </w:pPr>
            <w:r>
              <w:rPr>
                <w:b/>
                <w:color w:val="FFFFFF"/>
                <w:sz w:val="18"/>
              </w:rPr>
              <w:t>Experiment</w:t>
            </w:r>
          </w:p>
        </w:tc>
        <w:tc>
          <w:tcPr>
            <w:tcW w:type="dxa" w:w="1728"/>
            <w:vAlign w:val="center"/>
            <w:shd w:fill="183B4A"/>
            <w:tcMar>
              <w:top w:w="80" w:type="dxa"/>
              <w:bottom w:w="80" w:type="dxa"/>
              <w:left w:w="80" w:type="dxa"/>
              <w:right w:w="80" w:type="dxa"/>
            </w:tcMar>
          </w:tcPr>
          <w:p>
            <w:pPr>
              <w:spacing w:after="40" w:before="40" w:line="252" w:lineRule="auto"/>
              <w:jc w:val="center"/>
            </w:pPr>
            <w:r>
              <w:rPr>
                <w:b/>
                <w:color w:val="FFFFFF"/>
                <w:sz w:val="18"/>
              </w:rPr>
              <w:t>Encoded fields</w:t>
            </w:r>
          </w:p>
        </w:tc>
        <w:tc>
          <w:tcPr>
            <w:tcW w:type="dxa" w:w="5400"/>
            <w:vAlign w:val="center"/>
            <w:shd w:fill="183B4A"/>
            <w:tcMar>
              <w:top w:w="80" w:type="dxa"/>
              <w:bottom w:w="80" w:type="dxa"/>
              <w:left w:w="80" w:type="dxa"/>
              <w:right w:w="80" w:type="dxa"/>
            </w:tcMar>
          </w:tcPr>
          <w:p>
            <w:pPr>
              <w:spacing w:after="40" w:before="40" w:line="252" w:lineRule="auto"/>
              <w:jc w:val="center"/>
            </w:pPr>
            <w:r>
              <w:rPr>
                <w:b/>
                <w:color w:val="FFFFFF"/>
                <w:sz w:val="18"/>
              </w:rPr>
              <w:t>Removed from original contract</w:t>
            </w:r>
          </w:p>
        </w:tc>
      </w:tr>
      <w:tr>
        <w:trPr>
          <w:cantSplit/>
        </w:trPr>
        <w:tc>
          <w:tcPr>
            <w:tcW w:type="dxa" w:w="2448"/>
            <w:vAlign w:val="center"/>
            <w:shd w:fill="FFFFFF"/>
            <w:tcMar>
              <w:top w:w="80" w:type="dxa"/>
              <w:bottom w:w="80" w:type="dxa"/>
              <w:left w:w="80" w:type="dxa"/>
              <w:right w:w="80" w:type="dxa"/>
            </w:tcMar>
          </w:tcPr>
          <w:p>
            <w:pPr>
              <w:spacing w:after="40" w:before="40" w:line="252" w:lineRule="auto"/>
              <w:jc w:val="left"/>
            </w:pPr>
            <w:r>
              <w:rPr>
                <w:b w:val="0"/>
                <w:color w:val="000000"/>
                <w:sz w:val="18"/>
              </w:rPr>
              <w:t>Original</w:t>
            </w:r>
          </w:p>
        </w:tc>
        <w:tc>
          <w:tcPr>
            <w:tcW w:type="dxa" w:w="1728"/>
            <w:vAlign w:val="center"/>
            <w:shd w:fill="FFFFFF"/>
            <w:tcMar>
              <w:top w:w="80" w:type="dxa"/>
              <w:bottom w:w="80" w:type="dxa"/>
              <w:left w:w="80" w:type="dxa"/>
              <w:right w:w="80" w:type="dxa"/>
            </w:tcMar>
          </w:tcPr>
          <w:p>
            <w:pPr>
              <w:spacing w:after="40" w:before="40" w:line="252" w:lineRule="auto"/>
              <w:jc w:val="center"/>
            </w:pPr>
            <w:r>
              <w:rPr>
                <w:b w:val="0"/>
                <w:color w:val="000000"/>
                <w:sz w:val="18"/>
              </w:rPr>
              <w:t>29</w:t>
            </w:r>
          </w:p>
        </w:tc>
        <w:tc>
          <w:tcPr>
            <w:tcW w:type="dxa" w:w="5400"/>
            <w:vAlign w:val="center"/>
            <w:shd w:fill="FFFFFF"/>
            <w:tcMar>
              <w:top w:w="80" w:type="dxa"/>
              <w:bottom w:w="80" w:type="dxa"/>
              <w:left w:w="80" w:type="dxa"/>
              <w:right w:w="80" w:type="dxa"/>
            </w:tcMar>
          </w:tcPr>
          <w:p>
            <w:pPr>
              <w:spacing w:after="40" w:before="40" w:line="252" w:lineRule="auto"/>
              <w:jc w:val="center"/>
            </w:pPr>
            <w:r>
              <w:rPr>
                <w:b w:val="0"/>
                <w:color w:val="000000"/>
                <w:sz w:val="18"/>
              </w:rPr>
              <w:t>None beyond common exclusions</w:t>
            </w:r>
          </w:p>
        </w:tc>
      </w:tr>
      <w:tr>
        <w:trPr>
          <w:cantSplit/>
        </w:trPr>
        <w:tc>
          <w:tcPr>
            <w:tcW w:type="dxa" w:w="2448"/>
            <w:vAlign w:val="center"/>
            <w:shd w:fill="F1F5F6"/>
            <w:tcMar>
              <w:top w:w="80" w:type="dxa"/>
              <w:bottom w:w="80" w:type="dxa"/>
              <w:left w:w="80" w:type="dxa"/>
              <w:right w:w="80" w:type="dxa"/>
            </w:tcMar>
          </w:tcPr>
          <w:p>
            <w:pPr>
              <w:spacing w:after="40" w:before="40" w:line="252" w:lineRule="auto"/>
              <w:jc w:val="left"/>
            </w:pPr>
            <w:r>
              <w:rPr>
                <w:b w:val="0"/>
                <w:color w:val="000000"/>
                <w:sz w:val="18"/>
              </w:rPr>
              <w:t>Intake</w:t>
            </w:r>
          </w:p>
        </w:tc>
        <w:tc>
          <w:tcPr>
            <w:tcW w:type="dxa" w:w="1728"/>
            <w:vAlign w:val="center"/>
            <w:shd w:fill="F1F5F6"/>
            <w:tcMar>
              <w:top w:w="80" w:type="dxa"/>
              <w:bottom w:w="80" w:type="dxa"/>
              <w:left w:w="80" w:type="dxa"/>
              <w:right w:w="80" w:type="dxa"/>
            </w:tcMar>
          </w:tcPr>
          <w:p>
            <w:pPr>
              <w:spacing w:after="40" w:before="40" w:line="252" w:lineRule="auto"/>
              <w:jc w:val="center"/>
            </w:pPr>
            <w:r>
              <w:rPr>
                <w:b w:val="0"/>
                <w:color w:val="000000"/>
                <w:sz w:val="18"/>
              </w:rPr>
              <w:t>28</w:t>
            </w:r>
          </w:p>
        </w:tc>
        <w:tc>
          <w:tcPr>
            <w:tcW w:type="dxa" w:w="5400"/>
            <w:vAlign w:val="center"/>
            <w:shd w:fill="F1F5F6"/>
            <w:tcMar>
              <w:top w:w="80" w:type="dxa"/>
              <w:bottom w:w="80" w:type="dxa"/>
              <w:left w:w="80" w:type="dxa"/>
              <w:right w:w="80" w:type="dxa"/>
            </w:tcMar>
          </w:tcPr>
          <w:p>
            <w:pPr>
              <w:spacing w:after="40" w:before="40" w:line="252" w:lineRule="auto"/>
              <w:jc w:val="center"/>
            </w:pPr>
            <w:r>
              <w:rPr>
                <w:b w:val="0"/>
                <w:color w:val="000000"/>
                <w:sz w:val="18"/>
              </w:rPr>
              <w:t>Cluster</w:t>
            </w:r>
          </w:p>
        </w:tc>
      </w:tr>
      <w:tr>
        <w:trPr>
          <w:cantSplit/>
        </w:trPr>
        <w:tc>
          <w:tcPr>
            <w:tcW w:type="dxa" w:w="2448"/>
            <w:vAlign w:val="center"/>
            <w:shd w:fill="FFFFFF"/>
            <w:tcMar>
              <w:top w:w="80" w:type="dxa"/>
              <w:bottom w:w="80" w:type="dxa"/>
              <w:left w:w="80" w:type="dxa"/>
              <w:right w:w="80" w:type="dxa"/>
            </w:tcMar>
          </w:tcPr>
          <w:p>
            <w:pPr>
              <w:spacing w:after="40" w:before="40" w:line="252" w:lineRule="auto"/>
              <w:jc w:val="left"/>
            </w:pPr>
            <w:r>
              <w:rPr>
                <w:b w:val="0"/>
                <w:color w:val="000000"/>
                <w:sz w:val="18"/>
              </w:rPr>
              <w:t>Amount sensitivity</w:t>
            </w:r>
          </w:p>
        </w:tc>
        <w:tc>
          <w:tcPr>
            <w:tcW w:type="dxa" w:w="1728"/>
            <w:vAlign w:val="center"/>
            <w:shd w:fill="FFFFFF"/>
            <w:tcMar>
              <w:top w:w="80" w:type="dxa"/>
              <w:bottom w:w="80" w:type="dxa"/>
              <w:left w:w="80" w:type="dxa"/>
              <w:right w:w="80" w:type="dxa"/>
            </w:tcMar>
          </w:tcPr>
          <w:p>
            <w:pPr>
              <w:spacing w:after="40" w:before="40" w:line="252" w:lineRule="auto"/>
              <w:jc w:val="center"/>
            </w:pPr>
            <w:r>
              <w:rPr>
                <w:b w:val="0"/>
                <w:color w:val="000000"/>
                <w:sz w:val="18"/>
              </w:rPr>
              <w:t>27</w:t>
            </w:r>
          </w:p>
        </w:tc>
        <w:tc>
          <w:tcPr>
            <w:tcW w:type="dxa" w:w="5400"/>
            <w:vAlign w:val="center"/>
            <w:shd w:fill="FFFFFF"/>
            <w:tcMar>
              <w:top w:w="80" w:type="dxa"/>
              <w:bottom w:w="80" w:type="dxa"/>
              <w:left w:w="80" w:type="dxa"/>
              <w:right w:w="80" w:type="dxa"/>
            </w:tcMar>
          </w:tcPr>
          <w:p>
            <w:pPr>
              <w:spacing w:after="40" w:before="40" w:line="252" w:lineRule="auto"/>
              <w:jc w:val="center"/>
            </w:pPr>
            <w:r>
              <w:rPr>
                <w:b w:val="0"/>
                <w:color w:val="000000"/>
                <w:sz w:val="18"/>
              </w:rPr>
              <w:t>Cluster and ClaimAmount</w:t>
            </w:r>
          </w:p>
        </w:tc>
      </w:tr>
      <w:tr>
        <w:trPr>
          <w:cantSplit/>
        </w:trPr>
        <w:tc>
          <w:tcPr>
            <w:tcW w:type="dxa" w:w="2448"/>
            <w:vAlign w:val="center"/>
            <w:shd w:fill="F1F5F6"/>
            <w:tcMar>
              <w:top w:w="80" w:type="dxa"/>
              <w:bottom w:w="80" w:type="dxa"/>
              <w:left w:w="80" w:type="dxa"/>
              <w:right w:w="80" w:type="dxa"/>
            </w:tcMar>
          </w:tcPr>
          <w:p>
            <w:pPr>
              <w:spacing w:after="40" w:before="40" w:line="252" w:lineRule="auto"/>
              <w:jc w:val="left"/>
            </w:pPr>
            <w:r>
              <w:rPr>
                <w:b w:val="0"/>
                <w:color w:val="000000"/>
                <w:sz w:val="18"/>
              </w:rPr>
              <w:t>Chronological intake</w:t>
            </w:r>
          </w:p>
        </w:tc>
        <w:tc>
          <w:tcPr>
            <w:tcW w:type="dxa" w:w="1728"/>
            <w:vAlign w:val="center"/>
            <w:shd w:fill="F1F5F6"/>
            <w:tcMar>
              <w:top w:w="80" w:type="dxa"/>
              <w:bottom w:w="80" w:type="dxa"/>
              <w:left w:w="80" w:type="dxa"/>
              <w:right w:w="80" w:type="dxa"/>
            </w:tcMar>
          </w:tcPr>
          <w:p>
            <w:pPr>
              <w:spacing w:after="40" w:before="40" w:line="252" w:lineRule="auto"/>
              <w:jc w:val="center"/>
            </w:pPr>
            <w:r>
              <w:rPr>
                <w:b w:val="0"/>
                <w:color w:val="000000"/>
                <w:sz w:val="18"/>
              </w:rPr>
              <w:t>28</w:t>
            </w:r>
          </w:p>
        </w:tc>
        <w:tc>
          <w:tcPr>
            <w:tcW w:type="dxa" w:w="5400"/>
            <w:vAlign w:val="center"/>
            <w:shd w:fill="F1F5F6"/>
            <w:tcMar>
              <w:top w:w="80" w:type="dxa"/>
              <w:bottom w:w="80" w:type="dxa"/>
              <w:left w:w="80" w:type="dxa"/>
              <w:right w:w="80" w:type="dxa"/>
            </w:tcMar>
          </w:tcPr>
          <w:p>
            <w:pPr>
              <w:spacing w:after="40" w:before="40" w:line="252" w:lineRule="auto"/>
              <w:jc w:val="center"/>
            </w:pPr>
            <w:r>
              <w:rPr>
                <w:b w:val="0"/>
                <w:color w:val="000000"/>
                <w:sz w:val="18"/>
              </w:rPr>
              <w:t>Cluster</w:t>
            </w:r>
          </w:p>
        </w:tc>
      </w:tr>
    </w:tbl>
    <w:p>
      <w:pPr>
        <w:widowControl/>
        <w:spacing w:after="0"/>
      </w:pPr>
    </w:p>
    <w:p>
      <w:pPr>
        <w:widowControl/>
      </w:pPr>
      <w:r>
        <w:t>Common exclusions are ClaimStatus, ClaimID, PatientID, ProviderID, DiagnosisCode, ProcedureCode and ProviderLocation. ClaimDate itself is replaced by year, month and weekday. The target never enters the feature transformer. Random partition indices match the original Approach 1 arrays for every split after preprocessing, allowing a direct comparison.</w:t>
      </w:r>
    </w:p>
    <w:p>
      <w:pPr>
        <w:widowControl/>
      </w:pPr>
      <w:r>
        <w:t>Numeric columns pass through a training-fitted median imputer and StandardScaler. Categorical columns pass through a training-fitted most-frequent imputer and OneHotEncoder. The current workbook requires no filling. The training encoder controls column order and unseen-category handling. The website accepts only the known categorical choices to avoid silent unknown-field behavior. These operations fit on the training partition and transform the remaining partitions without refitting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944"/>
        <w:gridCol w:w="1944"/>
        <w:gridCol w:w="2808"/>
      </w:tblGrid>
      <w:tr>
        <w:trPr>
          <w:tblHeader/>
          <w:cantSplit/>
        </w:trPr>
        <w:tc>
          <w:tcPr>
            <w:tcW w:type="dxa" w:w="2880"/>
            <w:vAlign w:val="center"/>
            <w:shd w:fill="183B4A"/>
            <w:tcMar>
              <w:top w:w="80" w:type="dxa"/>
              <w:bottom w:w="80" w:type="dxa"/>
              <w:left w:w="80" w:type="dxa"/>
              <w:right w:w="80" w:type="dxa"/>
            </w:tcMar>
          </w:tcPr>
          <w:p>
            <w:pPr>
              <w:spacing w:after="40" w:before="40" w:line="252" w:lineRule="auto"/>
              <w:jc w:val="left"/>
            </w:pPr>
            <w:r>
              <w:rPr>
                <w:b/>
                <w:color w:val="FFFFFF"/>
                <w:sz w:val="18"/>
              </w:rPr>
              <w:t>Split</w:t>
            </w:r>
          </w:p>
        </w:tc>
        <w:tc>
          <w:tcPr>
            <w:tcW w:type="dxa" w:w="1944"/>
            <w:vAlign w:val="center"/>
            <w:shd w:fill="183B4A"/>
            <w:tcMar>
              <w:top w:w="80" w:type="dxa"/>
              <w:bottom w:w="80" w:type="dxa"/>
              <w:left w:w="80" w:type="dxa"/>
              <w:right w:w="80" w:type="dxa"/>
            </w:tcMar>
          </w:tcPr>
          <w:p>
            <w:pPr>
              <w:spacing w:after="40" w:before="40" w:line="252" w:lineRule="auto"/>
              <w:jc w:val="center"/>
            </w:pPr>
            <w:r>
              <w:rPr>
                <w:b/>
                <w:color w:val="FFFFFF"/>
                <w:sz w:val="18"/>
              </w:rPr>
              <w:t>Claims</w:t>
            </w:r>
          </w:p>
        </w:tc>
        <w:tc>
          <w:tcPr>
            <w:tcW w:type="dxa" w:w="1944"/>
            <w:vAlign w:val="center"/>
            <w:shd w:fill="183B4A"/>
            <w:tcMar>
              <w:top w:w="80" w:type="dxa"/>
              <w:bottom w:w="80" w:type="dxa"/>
              <w:left w:w="80" w:type="dxa"/>
              <w:right w:w="80" w:type="dxa"/>
            </w:tcMar>
          </w:tcPr>
          <w:p>
            <w:pPr>
              <w:spacing w:after="40" w:before="40" w:line="252" w:lineRule="auto"/>
              <w:jc w:val="center"/>
            </w:pPr>
            <w:r>
              <w:rPr>
                <w:b/>
                <w:color w:val="FFFFFF"/>
                <w:sz w:val="18"/>
              </w:rPr>
              <w:t>Fraud</w:t>
            </w:r>
          </w:p>
        </w:tc>
        <w:tc>
          <w:tcPr>
            <w:tcW w:type="dxa" w:w="2808"/>
            <w:vAlign w:val="center"/>
            <w:shd w:fill="183B4A"/>
            <w:tcMar>
              <w:top w:w="80" w:type="dxa"/>
              <w:bottom w:w="80" w:type="dxa"/>
              <w:left w:w="80" w:type="dxa"/>
              <w:right w:w="80" w:type="dxa"/>
            </w:tcMar>
          </w:tcPr>
          <w:p>
            <w:pPr>
              <w:spacing w:after="40" w:before="40" w:line="252" w:lineRule="auto"/>
              <w:jc w:val="center"/>
            </w:pPr>
            <w:r>
              <w:rPr>
                <w:b/>
                <w:color w:val="FFFFFF"/>
                <w:sz w:val="18"/>
              </w:rPr>
              <w:t>Fraud share</w:t>
            </w:r>
          </w:p>
        </w:tc>
      </w:tr>
      <w:tr>
        <w:trPr>
          <w:cantSplit/>
        </w:trPr>
        <w:tc>
          <w:tcPr>
            <w:tcW w:type="dxa" w:w="2880"/>
            <w:vAlign w:val="center"/>
            <w:shd w:fill="FFFFFF"/>
            <w:tcMar>
              <w:top w:w="80" w:type="dxa"/>
              <w:bottom w:w="80" w:type="dxa"/>
              <w:left w:w="80" w:type="dxa"/>
              <w:right w:w="80" w:type="dxa"/>
            </w:tcMar>
          </w:tcPr>
          <w:p>
            <w:pPr>
              <w:spacing w:after="40" w:before="40" w:line="252" w:lineRule="auto"/>
              <w:jc w:val="left"/>
            </w:pPr>
            <w:r>
              <w:rPr>
                <w:b w:val="0"/>
                <w:color w:val="000000"/>
                <w:sz w:val="18"/>
              </w:rPr>
              <w:t>Random training</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3150</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189</w:t>
            </w:r>
          </w:p>
        </w:tc>
        <w:tc>
          <w:tcPr>
            <w:tcW w:type="dxa" w:w="2808"/>
            <w:vAlign w:val="center"/>
            <w:shd w:fill="FFFFFF"/>
            <w:tcMar>
              <w:top w:w="80" w:type="dxa"/>
              <w:bottom w:w="80" w:type="dxa"/>
              <w:left w:w="80" w:type="dxa"/>
              <w:right w:w="80" w:type="dxa"/>
            </w:tcMar>
          </w:tcPr>
          <w:p>
            <w:pPr>
              <w:spacing w:after="40" w:before="40" w:line="252" w:lineRule="auto"/>
              <w:jc w:val="center"/>
            </w:pPr>
            <w:r>
              <w:rPr>
                <w:b w:val="0"/>
                <w:color w:val="000000"/>
                <w:sz w:val="18"/>
              </w:rPr>
              <w:t>6.00%</w:t>
            </w:r>
          </w:p>
        </w:tc>
      </w:tr>
      <w:tr>
        <w:trPr>
          <w:cantSplit/>
        </w:trPr>
        <w:tc>
          <w:tcPr>
            <w:tcW w:type="dxa" w:w="2880"/>
            <w:vAlign w:val="center"/>
            <w:shd w:fill="F1F5F6"/>
            <w:tcMar>
              <w:top w:w="80" w:type="dxa"/>
              <w:bottom w:w="80" w:type="dxa"/>
              <w:left w:w="80" w:type="dxa"/>
              <w:right w:w="80" w:type="dxa"/>
            </w:tcMar>
          </w:tcPr>
          <w:p>
            <w:pPr>
              <w:spacing w:after="40" w:before="40" w:line="252" w:lineRule="auto"/>
              <w:jc w:val="left"/>
            </w:pPr>
            <w:r>
              <w:rPr>
                <w:b w:val="0"/>
                <w:color w:val="000000"/>
                <w:sz w:val="18"/>
              </w:rPr>
              <w:t>Random validation</w:t>
            </w:r>
          </w:p>
        </w:tc>
        <w:tc>
          <w:tcPr>
            <w:tcW w:type="dxa" w:w="1944"/>
            <w:vAlign w:val="center"/>
            <w:shd w:fill="F1F5F6"/>
            <w:tcMar>
              <w:top w:w="80" w:type="dxa"/>
              <w:bottom w:w="80" w:type="dxa"/>
              <w:left w:w="80" w:type="dxa"/>
              <w:right w:w="80" w:type="dxa"/>
            </w:tcMar>
          </w:tcPr>
          <w:p>
            <w:pPr>
              <w:spacing w:after="40" w:before="40" w:line="252" w:lineRule="auto"/>
              <w:jc w:val="center"/>
            </w:pPr>
            <w:r>
              <w:rPr>
                <w:b w:val="0"/>
                <w:color w:val="000000"/>
                <w:sz w:val="18"/>
              </w:rPr>
              <w:t>675</w:t>
            </w:r>
          </w:p>
        </w:tc>
        <w:tc>
          <w:tcPr>
            <w:tcW w:type="dxa" w:w="1944"/>
            <w:vAlign w:val="center"/>
            <w:shd w:fill="F1F5F6"/>
            <w:tcMar>
              <w:top w:w="80" w:type="dxa"/>
              <w:bottom w:w="80" w:type="dxa"/>
              <w:left w:w="80" w:type="dxa"/>
              <w:right w:w="80" w:type="dxa"/>
            </w:tcMar>
          </w:tcPr>
          <w:p>
            <w:pPr>
              <w:spacing w:after="40" w:before="40" w:line="252" w:lineRule="auto"/>
              <w:jc w:val="center"/>
            </w:pPr>
            <w:r>
              <w:rPr>
                <w:b w:val="0"/>
                <w:color w:val="000000"/>
                <w:sz w:val="18"/>
              </w:rPr>
              <w:t>41</w:t>
            </w:r>
          </w:p>
        </w:tc>
        <w:tc>
          <w:tcPr>
            <w:tcW w:type="dxa" w:w="2808"/>
            <w:vAlign w:val="center"/>
            <w:shd w:fill="F1F5F6"/>
            <w:tcMar>
              <w:top w:w="80" w:type="dxa"/>
              <w:bottom w:w="80" w:type="dxa"/>
              <w:left w:w="80" w:type="dxa"/>
              <w:right w:w="80" w:type="dxa"/>
            </w:tcMar>
          </w:tcPr>
          <w:p>
            <w:pPr>
              <w:spacing w:after="40" w:before="40" w:line="252" w:lineRule="auto"/>
              <w:jc w:val="center"/>
            </w:pPr>
            <w:r>
              <w:rPr>
                <w:b w:val="0"/>
                <w:color w:val="000000"/>
                <w:sz w:val="18"/>
              </w:rPr>
              <w:t>6.07%</w:t>
            </w:r>
          </w:p>
        </w:tc>
      </w:tr>
      <w:tr>
        <w:trPr>
          <w:cantSplit/>
        </w:trPr>
        <w:tc>
          <w:tcPr>
            <w:tcW w:type="dxa" w:w="2880"/>
            <w:vAlign w:val="center"/>
            <w:shd w:fill="FFFFFF"/>
            <w:tcMar>
              <w:top w:w="80" w:type="dxa"/>
              <w:bottom w:w="80" w:type="dxa"/>
              <w:left w:w="80" w:type="dxa"/>
              <w:right w:w="80" w:type="dxa"/>
            </w:tcMar>
          </w:tcPr>
          <w:p>
            <w:pPr>
              <w:spacing w:after="40" w:before="40" w:line="252" w:lineRule="auto"/>
              <w:jc w:val="left"/>
            </w:pPr>
            <w:r>
              <w:rPr>
                <w:b w:val="0"/>
                <w:color w:val="000000"/>
                <w:sz w:val="18"/>
              </w:rPr>
              <w:t>Random test</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675</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40</w:t>
            </w:r>
          </w:p>
        </w:tc>
        <w:tc>
          <w:tcPr>
            <w:tcW w:type="dxa" w:w="2808"/>
            <w:vAlign w:val="center"/>
            <w:shd w:fill="FFFFFF"/>
            <w:tcMar>
              <w:top w:w="80" w:type="dxa"/>
              <w:bottom w:w="80" w:type="dxa"/>
              <w:left w:w="80" w:type="dxa"/>
              <w:right w:w="80" w:type="dxa"/>
            </w:tcMar>
          </w:tcPr>
          <w:p>
            <w:pPr>
              <w:spacing w:after="40" w:before="40" w:line="252" w:lineRule="auto"/>
              <w:jc w:val="center"/>
            </w:pPr>
            <w:r>
              <w:rPr>
                <w:b w:val="0"/>
                <w:color w:val="000000"/>
                <w:sz w:val="18"/>
              </w:rPr>
              <w:t>5.93%</w:t>
            </w:r>
          </w:p>
        </w:tc>
      </w:tr>
      <w:tr>
        <w:trPr>
          <w:cantSplit/>
        </w:trPr>
        <w:tc>
          <w:tcPr>
            <w:tcW w:type="dxa" w:w="2880"/>
            <w:vAlign w:val="center"/>
            <w:shd w:fill="F1F5F6"/>
            <w:tcMar>
              <w:top w:w="80" w:type="dxa"/>
              <w:bottom w:w="80" w:type="dxa"/>
              <w:left w:w="80" w:type="dxa"/>
              <w:right w:w="80" w:type="dxa"/>
            </w:tcMar>
          </w:tcPr>
          <w:p>
            <w:pPr>
              <w:spacing w:after="40" w:before="40" w:line="252" w:lineRule="auto"/>
              <w:jc w:val="left"/>
            </w:pPr>
            <w:r>
              <w:rPr>
                <w:b w:val="0"/>
                <w:color w:val="000000"/>
                <w:sz w:val="18"/>
              </w:rPr>
              <w:t>Chronological training</w:t>
            </w:r>
          </w:p>
        </w:tc>
        <w:tc>
          <w:tcPr>
            <w:tcW w:type="dxa" w:w="1944"/>
            <w:vAlign w:val="center"/>
            <w:shd w:fill="F1F5F6"/>
            <w:tcMar>
              <w:top w:w="80" w:type="dxa"/>
              <w:bottom w:w="80" w:type="dxa"/>
              <w:left w:w="80" w:type="dxa"/>
              <w:right w:w="80" w:type="dxa"/>
            </w:tcMar>
          </w:tcPr>
          <w:p>
            <w:pPr>
              <w:spacing w:after="40" w:before="40" w:line="252" w:lineRule="auto"/>
              <w:jc w:val="center"/>
            </w:pPr>
            <w:r>
              <w:rPr>
                <w:b w:val="0"/>
                <w:color w:val="000000"/>
                <w:sz w:val="18"/>
              </w:rPr>
              <w:t>3152</w:t>
            </w:r>
          </w:p>
        </w:tc>
        <w:tc>
          <w:tcPr>
            <w:tcW w:type="dxa" w:w="1944"/>
            <w:vAlign w:val="center"/>
            <w:shd w:fill="F1F5F6"/>
            <w:tcMar>
              <w:top w:w="80" w:type="dxa"/>
              <w:bottom w:w="80" w:type="dxa"/>
              <w:left w:w="80" w:type="dxa"/>
              <w:right w:w="80" w:type="dxa"/>
            </w:tcMar>
          </w:tcPr>
          <w:p>
            <w:pPr>
              <w:spacing w:after="40" w:before="40" w:line="252" w:lineRule="auto"/>
              <w:jc w:val="center"/>
            </w:pPr>
            <w:r>
              <w:rPr>
                <w:b w:val="0"/>
                <w:color w:val="000000"/>
                <w:sz w:val="18"/>
              </w:rPr>
              <w:t>199</w:t>
            </w:r>
          </w:p>
        </w:tc>
        <w:tc>
          <w:tcPr>
            <w:tcW w:type="dxa" w:w="2808"/>
            <w:vAlign w:val="center"/>
            <w:shd w:fill="F1F5F6"/>
            <w:tcMar>
              <w:top w:w="80" w:type="dxa"/>
              <w:bottom w:w="80" w:type="dxa"/>
              <w:left w:w="80" w:type="dxa"/>
              <w:right w:w="80" w:type="dxa"/>
            </w:tcMar>
          </w:tcPr>
          <w:p>
            <w:pPr>
              <w:spacing w:after="40" w:before="40" w:line="252" w:lineRule="auto"/>
              <w:jc w:val="center"/>
            </w:pPr>
            <w:r>
              <w:rPr>
                <w:b w:val="0"/>
                <w:color w:val="000000"/>
                <w:sz w:val="18"/>
              </w:rPr>
              <w:t>6.31%</w:t>
            </w:r>
          </w:p>
        </w:tc>
      </w:tr>
      <w:tr>
        <w:trPr>
          <w:cantSplit/>
        </w:trPr>
        <w:tc>
          <w:tcPr>
            <w:tcW w:type="dxa" w:w="2880"/>
            <w:vAlign w:val="center"/>
            <w:shd w:fill="FFFFFF"/>
            <w:tcMar>
              <w:top w:w="80" w:type="dxa"/>
              <w:bottom w:w="80" w:type="dxa"/>
              <w:left w:w="80" w:type="dxa"/>
              <w:right w:w="80" w:type="dxa"/>
            </w:tcMar>
          </w:tcPr>
          <w:p>
            <w:pPr>
              <w:spacing w:after="40" w:before="40" w:line="252" w:lineRule="auto"/>
              <w:jc w:val="left"/>
            </w:pPr>
            <w:r>
              <w:rPr>
                <w:b w:val="0"/>
                <w:color w:val="000000"/>
                <w:sz w:val="18"/>
              </w:rPr>
              <w:t>Chronological validation</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677</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34</w:t>
            </w:r>
          </w:p>
        </w:tc>
        <w:tc>
          <w:tcPr>
            <w:tcW w:type="dxa" w:w="2808"/>
            <w:vAlign w:val="center"/>
            <w:shd w:fill="FFFFFF"/>
            <w:tcMar>
              <w:top w:w="80" w:type="dxa"/>
              <w:bottom w:w="80" w:type="dxa"/>
              <w:left w:w="80" w:type="dxa"/>
              <w:right w:w="80" w:type="dxa"/>
            </w:tcMar>
          </w:tcPr>
          <w:p>
            <w:pPr>
              <w:spacing w:after="40" w:before="40" w:line="252" w:lineRule="auto"/>
              <w:jc w:val="center"/>
            </w:pPr>
            <w:r>
              <w:rPr>
                <w:b w:val="0"/>
                <w:color w:val="000000"/>
                <w:sz w:val="18"/>
              </w:rPr>
              <w:t>5.02%</w:t>
            </w:r>
          </w:p>
        </w:tc>
      </w:tr>
      <w:tr>
        <w:trPr>
          <w:cantSplit/>
        </w:trPr>
        <w:tc>
          <w:tcPr>
            <w:tcW w:type="dxa" w:w="2880"/>
            <w:vAlign w:val="center"/>
            <w:shd w:fill="F1F5F6"/>
            <w:tcMar>
              <w:top w:w="80" w:type="dxa"/>
              <w:bottom w:w="80" w:type="dxa"/>
              <w:left w:w="80" w:type="dxa"/>
              <w:right w:w="80" w:type="dxa"/>
            </w:tcMar>
          </w:tcPr>
          <w:p>
            <w:pPr>
              <w:spacing w:after="40" w:before="40" w:line="252" w:lineRule="auto"/>
              <w:jc w:val="left"/>
            </w:pPr>
            <w:r>
              <w:rPr>
                <w:b w:val="0"/>
                <w:color w:val="000000"/>
                <w:sz w:val="18"/>
              </w:rPr>
              <w:t>Chronological test</w:t>
            </w:r>
          </w:p>
        </w:tc>
        <w:tc>
          <w:tcPr>
            <w:tcW w:type="dxa" w:w="1944"/>
            <w:vAlign w:val="center"/>
            <w:shd w:fill="F1F5F6"/>
            <w:tcMar>
              <w:top w:w="80" w:type="dxa"/>
              <w:bottom w:w="80" w:type="dxa"/>
              <w:left w:w="80" w:type="dxa"/>
              <w:right w:w="80" w:type="dxa"/>
            </w:tcMar>
          </w:tcPr>
          <w:p>
            <w:pPr>
              <w:spacing w:after="40" w:before="40" w:line="252" w:lineRule="auto"/>
              <w:jc w:val="center"/>
            </w:pPr>
            <w:r>
              <w:rPr>
                <w:b w:val="0"/>
                <w:color w:val="000000"/>
                <w:sz w:val="18"/>
              </w:rPr>
              <w:t>671</w:t>
            </w:r>
          </w:p>
        </w:tc>
        <w:tc>
          <w:tcPr>
            <w:tcW w:type="dxa" w:w="1944"/>
            <w:vAlign w:val="center"/>
            <w:shd w:fill="F1F5F6"/>
            <w:tcMar>
              <w:top w:w="80" w:type="dxa"/>
              <w:bottom w:w="80" w:type="dxa"/>
              <w:left w:w="80" w:type="dxa"/>
              <w:right w:w="80" w:type="dxa"/>
            </w:tcMar>
          </w:tcPr>
          <w:p>
            <w:pPr>
              <w:spacing w:after="40" w:before="40" w:line="252" w:lineRule="auto"/>
              <w:jc w:val="center"/>
            </w:pPr>
            <w:r>
              <w:rPr>
                <w:b w:val="0"/>
                <w:color w:val="000000"/>
                <w:sz w:val="18"/>
              </w:rPr>
              <w:t>37</w:t>
            </w:r>
          </w:p>
        </w:tc>
        <w:tc>
          <w:tcPr>
            <w:tcW w:type="dxa" w:w="2808"/>
            <w:vAlign w:val="center"/>
            <w:shd w:fill="F1F5F6"/>
            <w:tcMar>
              <w:top w:w="80" w:type="dxa"/>
              <w:bottom w:w="80" w:type="dxa"/>
              <w:left w:w="80" w:type="dxa"/>
              <w:right w:w="80" w:type="dxa"/>
            </w:tcMar>
          </w:tcPr>
          <w:p>
            <w:pPr>
              <w:spacing w:after="40" w:before="40" w:line="252" w:lineRule="auto"/>
              <w:jc w:val="center"/>
            </w:pPr>
            <w:r>
              <w:rPr>
                <w:b w:val="0"/>
                <w:color w:val="000000"/>
                <w:sz w:val="18"/>
              </w:rPr>
              <w:t>5.51%</w:t>
            </w:r>
          </w:p>
        </w:tc>
      </w:tr>
    </w:tbl>
    <w:p>
      <w:pPr>
        <w:widowControl/>
        <w:spacing w:after="0"/>
      </w:pPr>
    </w:p>
    <w:p>
      <w:pPr>
        <w:widowControl/>
      </w:pPr>
      <w:r>
        <w:t>Random partitioning uses 70% training, 15% validation and 15% test with stratification and seed 42. Chronological training ends on 21 November 2023 and validation ends on 10 March 2024. Keeping date groups intact changes exact chronological counts. Split manifests record workbook row numbers and claim identifiers to make partition membership auditable.</w:t>
      </w:r>
    </w:p>
    <w:p>
      <w:pPr>
        <w:pStyle w:val="Heading1"/>
        <w:pageBreakBefore/>
      </w:pPr>
      <w:r>
        <w:t>4 Approach 1 classical algorithms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128"/>
      </w:tblGrid>
      <w:tr>
        <w:trPr>
          <w:tblHeader/>
          <w:cantSplit/>
        </w:trPr>
        <w:tc>
          <w:tcPr>
            <w:tcW w:type="dxa" w:w="2448"/>
            <w:vAlign w:val="center"/>
            <w:shd w:fill="183B4A"/>
            <w:tcMar>
              <w:top w:w="80" w:type="dxa"/>
              <w:bottom w:w="80" w:type="dxa"/>
              <w:left w:w="80" w:type="dxa"/>
              <w:right w:w="80" w:type="dxa"/>
            </w:tcMar>
          </w:tcPr>
          <w:p>
            <w:pPr>
              <w:spacing w:after="40" w:before="40" w:line="252" w:lineRule="auto"/>
              <w:jc w:val="left"/>
            </w:pPr>
            <w:r>
              <w:rPr>
                <w:b/>
                <w:color w:val="FFFFFF"/>
                <w:sz w:val="18"/>
              </w:rPr>
              <w:t>Model</w:t>
            </w:r>
          </w:p>
        </w:tc>
        <w:tc>
          <w:tcPr>
            <w:tcW w:type="dxa" w:w="7128"/>
            <w:vAlign w:val="center"/>
            <w:shd w:fill="183B4A"/>
            <w:tcMar>
              <w:top w:w="80" w:type="dxa"/>
              <w:bottom w:w="80" w:type="dxa"/>
              <w:left w:w="80" w:type="dxa"/>
              <w:right w:w="80" w:type="dxa"/>
            </w:tcMar>
          </w:tcPr>
          <w:p>
            <w:pPr>
              <w:spacing w:after="40" w:before="40" w:line="252" w:lineRule="auto"/>
              <w:jc w:val="center"/>
            </w:pPr>
            <w:r>
              <w:rPr>
                <w:b/>
                <w:color w:val="FFFFFF"/>
                <w:sz w:val="18"/>
              </w:rPr>
              <w:t>Implementation and training settings</w:t>
            </w:r>
          </w:p>
        </w:tc>
      </w:tr>
      <w:tr>
        <w:trPr>
          <w:cantSplit/>
        </w:trPr>
        <w:tc>
          <w:tcPr>
            <w:tcW w:type="dxa" w:w="2448"/>
            <w:vAlign w:val="center"/>
            <w:shd w:fill="FFFFFF"/>
            <w:tcMar>
              <w:top w:w="80" w:type="dxa"/>
              <w:bottom w:w="80" w:type="dxa"/>
              <w:left w:w="80" w:type="dxa"/>
              <w:right w:w="80" w:type="dxa"/>
            </w:tcMar>
          </w:tcPr>
          <w:p>
            <w:pPr>
              <w:spacing w:after="40" w:before="40" w:line="252" w:lineRule="auto"/>
              <w:jc w:val="left"/>
            </w:pPr>
            <w:r>
              <w:rPr>
                <w:b w:val="0"/>
                <w:color w:val="000000"/>
                <w:sz w:val="18"/>
              </w:rPr>
              <w:t>Logistic Regression</w:t>
            </w:r>
          </w:p>
        </w:tc>
        <w:tc>
          <w:tcPr>
            <w:tcW w:type="dxa" w:w="7128"/>
            <w:vAlign w:val="center"/>
            <w:shd w:fill="FFFFFF"/>
            <w:tcMar>
              <w:top w:w="80" w:type="dxa"/>
              <w:bottom w:w="80" w:type="dxa"/>
              <w:left w:w="80" w:type="dxa"/>
              <w:right w:w="80" w:type="dxa"/>
            </w:tcMar>
          </w:tcPr>
          <w:p>
            <w:pPr>
              <w:spacing w:after="40" w:before="40" w:line="252" w:lineRule="auto"/>
              <w:jc w:val="center"/>
            </w:pPr>
            <w:r>
              <w:rPr>
                <w:b w:val="0"/>
                <w:color w:val="000000"/>
                <w:sz w:val="18"/>
              </w:rPr>
              <w:t>Linear log odds, balanced weights, lbfgs, max_iter 2000, seed 42.</w:t>
            </w:r>
          </w:p>
        </w:tc>
      </w:tr>
      <w:tr>
        <w:trPr>
          <w:cantSplit/>
        </w:trPr>
        <w:tc>
          <w:tcPr>
            <w:tcW w:type="dxa" w:w="2448"/>
            <w:vAlign w:val="center"/>
            <w:shd w:fill="F1F5F6"/>
            <w:tcMar>
              <w:top w:w="80" w:type="dxa"/>
              <w:bottom w:w="80" w:type="dxa"/>
              <w:left w:w="80" w:type="dxa"/>
              <w:right w:w="80" w:type="dxa"/>
            </w:tcMar>
          </w:tcPr>
          <w:p>
            <w:pPr>
              <w:spacing w:after="40" w:before="40" w:line="252" w:lineRule="auto"/>
              <w:jc w:val="left"/>
            </w:pPr>
            <w:r>
              <w:rPr>
                <w:b w:val="0"/>
                <w:color w:val="000000"/>
                <w:sz w:val="18"/>
              </w:rPr>
              <w:t>Random Forest</w:t>
            </w:r>
          </w:p>
        </w:tc>
        <w:tc>
          <w:tcPr>
            <w:tcW w:type="dxa" w:w="7128"/>
            <w:vAlign w:val="center"/>
            <w:shd w:fill="F1F5F6"/>
            <w:tcMar>
              <w:top w:w="80" w:type="dxa"/>
              <w:bottom w:w="80" w:type="dxa"/>
              <w:left w:w="80" w:type="dxa"/>
              <w:right w:w="80" w:type="dxa"/>
            </w:tcMar>
          </w:tcPr>
          <w:p>
            <w:pPr>
              <w:spacing w:after="40" w:before="40" w:line="252" w:lineRule="auto"/>
              <w:jc w:val="center"/>
            </w:pPr>
            <w:r>
              <w:rPr>
                <w:b w:val="0"/>
                <w:color w:val="000000"/>
                <w:sz w:val="18"/>
              </w:rPr>
              <w:t>300 trees, balanced class weights, seed 42 and two parallel jobs.</w:t>
            </w:r>
          </w:p>
        </w:tc>
      </w:tr>
      <w:tr>
        <w:trPr>
          <w:cantSplit/>
        </w:trPr>
        <w:tc>
          <w:tcPr>
            <w:tcW w:type="dxa" w:w="2448"/>
            <w:vAlign w:val="center"/>
            <w:shd w:fill="FFFFFF"/>
            <w:tcMar>
              <w:top w:w="80" w:type="dxa"/>
              <w:bottom w:w="80" w:type="dxa"/>
              <w:left w:w="80" w:type="dxa"/>
              <w:right w:w="80" w:type="dxa"/>
            </w:tcMar>
          </w:tcPr>
          <w:p>
            <w:pPr>
              <w:spacing w:after="40" w:before="40" w:line="252" w:lineRule="auto"/>
              <w:jc w:val="left"/>
            </w:pPr>
            <w:r>
              <w:rPr>
                <w:b w:val="0"/>
                <w:color w:val="000000"/>
                <w:sz w:val="18"/>
              </w:rPr>
              <w:t>XGBoost</w:t>
            </w:r>
          </w:p>
        </w:tc>
        <w:tc>
          <w:tcPr>
            <w:tcW w:type="dxa" w:w="7128"/>
            <w:vAlign w:val="center"/>
            <w:shd w:fill="FFFFFF"/>
            <w:tcMar>
              <w:top w:w="80" w:type="dxa"/>
              <w:bottom w:w="80" w:type="dxa"/>
              <w:left w:w="80" w:type="dxa"/>
              <w:right w:w="80" w:type="dxa"/>
            </w:tcMar>
          </w:tcPr>
          <w:p>
            <w:pPr>
              <w:spacing w:after="40" w:before="40" w:line="252" w:lineRule="auto"/>
              <w:jc w:val="center"/>
            </w:pPr>
            <w:r>
              <w:rPr>
                <w:b w:val="0"/>
                <w:color w:val="000000"/>
                <w:sz w:val="18"/>
              </w:rPr>
              <w:t>100 trees, maximum depth 6, learning rate 0.3, log loss objective, training negative-to-positive class ratio.</w:t>
            </w:r>
          </w:p>
        </w:tc>
      </w:tr>
      <w:tr>
        <w:trPr>
          <w:cantSplit/>
        </w:trPr>
        <w:tc>
          <w:tcPr>
            <w:tcW w:type="dxa" w:w="2448"/>
            <w:vAlign w:val="center"/>
            <w:shd w:fill="F1F5F6"/>
            <w:tcMar>
              <w:top w:w="80" w:type="dxa"/>
              <w:bottom w:w="80" w:type="dxa"/>
              <w:left w:w="80" w:type="dxa"/>
              <w:right w:w="80" w:type="dxa"/>
            </w:tcMar>
          </w:tcPr>
          <w:p>
            <w:pPr>
              <w:spacing w:after="40" w:before="40" w:line="252" w:lineRule="auto"/>
              <w:jc w:val="left"/>
            </w:pPr>
            <w:r>
              <w:rPr>
                <w:b w:val="0"/>
                <w:color w:val="000000"/>
                <w:sz w:val="18"/>
              </w:rPr>
              <w:t>SVM</w:t>
            </w:r>
          </w:p>
        </w:tc>
        <w:tc>
          <w:tcPr>
            <w:tcW w:type="dxa" w:w="7128"/>
            <w:vAlign w:val="center"/>
            <w:shd w:fill="F1F5F6"/>
            <w:tcMar>
              <w:top w:w="80" w:type="dxa"/>
              <w:bottom w:w="80" w:type="dxa"/>
              <w:left w:w="80" w:type="dxa"/>
              <w:right w:w="80" w:type="dxa"/>
            </w:tcMar>
          </w:tcPr>
          <w:p>
            <w:pPr>
              <w:spacing w:after="40" w:before="40" w:line="252" w:lineRule="auto"/>
              <w:jc w:val="center"/>
            </w:pPr>
            <w:r>
              <w:rPr>
                <w:b w:val="0"/>
                <w:color w:val="000000"/>
                <w:sz w:val="18"/>
              </w:rPr>
              <w:t>RBF kernel, balanced class weights and default C = 1. The sigmoid of the decision margin provides a bounded uncalibrated score.</w:t>
            </w:r>
          </w:p>
        </w:tc>
      </w:tr>
      <w:tr>
        <w:trPr>
          <w:cantSplit/>
        </w:trPr>
        <w:tc>
          <w:tcPr>
            <w:tcW w:type="dxa" w:w="2448"/>
            <w:vAlign w:val="center"/>
            <w:shd w:fill="FFFFFF"/>
            <w:tcMar>
              <w:top w:w="80" w:type="dxa"/>
              <w:bottom w:w="80" w:type="dxa"/>
              <w:left w:w="80" w:type="dxa"/>
              <w:right w:w="80" w:type="dxa"/>
            </w:tcMar>
          </w:tcPr>
          <w:p>
            <w:pPr>
              <w:spacing w:after="40" w:before="40" w:line="252" w:lineRule="auto"/>
              <w:jc w:val="left"/>
            </w:pPr>
            <w:r>
              <w:rPr>
                <w:b w:val="0"/>
                <w:color w:val="000000"/>
                <w:sz w:val="18"/>
              </w:rPr>
              <w:t>Histogram Gradient Boosting</w:t>
            </w:r>
          </w:p>
        </w:tc>
        <w:tc>
          <w:tcPr>
            <w:tcW w:type="dxa" w:w="7128"/>
            <w:vAlign w:val="center"/>
            <w:shd w:fill="FFFFFF"/>
            <w:tcMar>
              <w:top w:w="80" w:type="dxa"/>
              <w:bottom w:w="80" w:type="dxa"/>
              <w:left w:w="80" w:type="dxa"/>
              <w:right w:w="80" w:type="dxa"/>
            </w:tcMar>
          </w:tcPr>
          <w:p>
            <w:pPr>
              <w:spacing w:after="40" w:before="40" w:line="252" w:lineRule="auto"/>
              <w:jc w:val="center"/>
            </w:pPr>
            <w:r>
              <w:rPr>
                <w:b w:val="0"/>
                <w:color w:val="000000"/>
                <w:sz w:val="18"/>
              </w:rPr>
              <w:t>100 boosting iterations, balanced class weights, seed 42. Registry name GradientBoosting refers to HistGradientBoostingClassifier.</w:t>
            </w:r>
          </w:p>
        </w:tc>
      </w:tr>
    </w:tbl>
    <w:p>
      <w:pPr>
        <w:widowControl/>
        <w:spacing w:after="0"/>
      </w:pPr>
    </w:p>
    <w:p>
      <w:pPr>
        <w:widowControl/>
      </w:pPr>
      <w:r>
        <w:t>The linear model provides a compact baseline. Random Forest averages decisions from separately grown trees. XGBoost and histogram Gradient Boosting learn successive trees to correct earlier errors. SVM separates the encoded feature vectors using an RBF kernel. The same encoded arrays feed every classical and neural model within each experiment.</w:t>
      </w:r>
    </w:p>
    <w:p>
      <w:pPr>
        <w:pStyle w:val="Heading2"/>
      </w:pPr>
      <w:r>
        <w:t>4 1 Existing artifact verification</w:t>
      </w:r>
    </w:p>
    <w:p>
      <w:pPr>
        <w:widowControl/>
      </w:pPr>
      <w:r>
        <w:t>The original five classical models and original MLP checkpoint load and produce evaluation scores. Their metrics appear in legacy_artifact_audit.json. The original XGBoost artifact issues a serialization-version warning but evaluates successfully. Fresh models are saved separately under submission/models so that historical artifacts remain available for comparison.</w:t>
      </w:r>
    </w:p>
    <w:p>
      <w:pPr>
        <w:widowControl/>
      </w:pPr>
      <w:r>
        <w:t>The historical SVM uses separate prediction and probability paths. At probability threshold 0.5 its F1 differs from the historical .predict result. The fresh pipeline uses one sigmoid-margin score for all threshold decisions, avoiding that ambiguity. The original comparison’s SVM ranking metrics remain reproducible, but its threshold-dependent numbers must be read with their specific decision rule.</w:t>
      </w:r>
    </w:p>
    <w:p>
      <w:pPr>
        <w:widowControl/>
      </w:pPr>
      <w:r>
        <w:t>No grid search chooses hyperparameters from the test data. The configuration table defines a bounded model comparison, rather than a claim of globally optimal hyperparameters. Weighted training addresses the observed class imbalance without generating synthetic claim rows.</w:t>
      </w:r>
    </w:p>
    <w:p>
      <w:pPr>
        <w:pStyle w:val="Heading1"/>
        <w:pageBreakBefore/>
      </w:pPr>
      <w:r>
        <w:t>5 Approach 2 neural algorithms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416"/>
      </w:tblGrid>
      <w:tr>
        <w:trPr>
          <w:tblHeader/>
          <w:cantSplit/>
        </w:trPr>
        <w:tc>
          <w:tcPr>
            <w:tcW w:type="dxa" w:w="2160"/>
            <w:vAlign w:val="center"/>
            <w:shd w:fill="183B4A"/>
            <w:tcMar>
              <w:top w:w="80" w:type="dxa"/>
              <w:bottom w:w="80" w:type="dxa"/>
              <w:left w:w="80" w:type="dxa"/>
              <w:right w:w="80" w:type="dxa"/>
            </w:tcMar>
          </w:tcPr>
          <w:p>
            <w:pPr>
              <w:spacing w:after="40" w:before="40" w:line="252" w:lineRule="auto"/>
              <w:jc w:val="left"/>
            </w:pPr>
            <w:r>
              <w:rPr>
                <w:b/>
                <w:color w:val="FFFFFF"/>
                <w:sz w:val="18"/>
              </w:rPr>
              <w:t>Model</w:t>
            </w:r>
          </w:p>
        </w:tc>
        <w:tc>
          <w:tcPr>
            <w:tcW w:type="dxa" w:w="7416"/>
            <w:vAlign w:val="center"/>
            <w:shd w:fill="183B4A"/>
            <w:tcMar>
              <w:top w:w="80" w:type="dxa"/>
              <w:bottom w:w="80" w:type="dxa"/>
              <w:left w:w="80" w:type="dxa"/>
              <w:right w:w="80" w:type="dxa"/>
            </w:tcMar>
          </w:tcPr>
          <w:p>
            <w:pPr>
              <w:spacing w:after="40" w:before="40" w:line="252" w:lineRule="auto"/>
              <w:jc w:val="center"/>
            </w:pPr>
            <w:r>
              <w:rPr>
                <w:b/>
                <w:color w:val="FFFFFF"/>
                <w:sz w:val="18"/>
              </w:rPr>
              <w:t>Architecture</w:t>
            </w:r>
          </w:p>
        </w:tc>
      </w:tr>
      <w:tr>
        <w:trPr>
          <w:cantSplit/>
        </w:trPr>
        <w:tc>
          <w:tcPr>
            <w:tcW w:type="dxa" w:w="2160"/>
            <w:vAlign w:val="center"/>
            <w:shd w:fill="FFFFFF"/>
            <w:tcMar>
              <w:top w:w="80" w:type="dxa"/>
              <w:bottom w:w="80" w:type="dxa"/>
              <w:left w:w="80" w:type="dxa"/>
              <w:right w:w="80" w:type="dxa"/>
            </w:tcMar>
          </w:tcPr>
          <w:p>
            <w:pPr>
              <w:spacing w:after="40" w:before="40" w:line="252" w:lineRule="auto"/>
              <w:jc w:val="left"/>
            </w:pPr>
            <w:r>
              <w:rPr>
                <w:b w:val="0"/>
                <w:color w:val="000000"/>
                <w:sz w:val="18"/>
              </w:rPr>
              <w:t>MLP</w:t>
            </w:r>
          </w:p>
        </w:tc>
        <w:tc>
          <w:tcPr>
            <w:tcW w:type="dxa" w:w="7416"/>
            <w:vAlign w:val="center"/>
            <w:shd w:fill="FFFFFF"/>
            <w:tcMar>
              <w:top w:w="80" w:type="dxa"/>
              <w:bottom w:w="80" w:type="dxa"/>
              <w:left w:w="80" w:type="dxa"/>
              <w:right w:w="80" w:type="dxa"/>
            </w:tcMar>
          </w:tcPr>
          <w:p>
            <w:pPr>
              <w:spacing w:after="40" w:before="40" w:line="252" w:lineRule="auto"/>
              <w:jc w:val="center"/>
            </w:pPr>
            <w:r>
              <w:rPr>
                <w:b w:val="0"/>
                <w:color w:val="000000"/>
                <w:sz w:val="18"/>
              </w:rPr>
              <w:t>Input of 27, 28 or 29 features, dense 64, ReLU, dropout 0.2, dense 32, ReLU, dropout 0.2, scalar logit.</w:t>
            </w:r>
          </w:p>
        </w:tc>
      </w:tr>
      <w:tr>
        <w:trPr>
          <w:cantSplit/>
        </w:trPr>
        <w:tc>
          <w:tcPr>
            <w:tcW w:type="dxa" w:w="2160"/>
            <w:vAlign w:val="center"/>
            <w:shd w:fill="F1F5F6"/>
            <w:tcMar>
              <w:top w:w="80" w:type="dxa"/>
              <w:bottom w:w="80" w:type="dxa"/>
              <w:left w:w="80" w:type="dxa"/>
              <w:right w:w="80" w:type="dxa"/>
            </w:tcMar>
          </w:tcPr>
          <w:p>
            <w:pPr>
              <w:spacing w:after="40" w:before="40" w:line="252" w:lineRule="auto"/>
              <w:jc w:val="left"/>
            </w:pPr>
            <w:r>
              <w:rPr>
                <w:b w:val="0"/>
                <w:color w:val="000000"/>
                <w:sz w:val="18"/>
              </w:rPr>
              <w:t>Residual MLP</w:t>
            </w:r>
          </w:p>
        </w:tc>
        <w:tc>
          <w:tcPr>
            <w:tcW w:type="dxa" w:w="7416"/>
            <w:vAlign w:val="center"/>
            <w:shd w:fill="F1F5F6"/>
            <w:tcMar>
              <w:top w:w="80" w:type="dxa"/>
              <w:bottom w:w="80" w:type="dxa"/>
              <w:left w:w="80" w:type="dxa"/>
              <w:right w:w="80" w:type="dxa"/>
            </w:tcMar>
          </w:tcPr>
          <w:p>
            <w:pPr>
              <w:spacing w:after="40" w:before="40" w:line="252" w:lineRule="auto"/>
              <w:jc w:val="center"/>
            </w:pPr>
            <w:r>
              <w:rPr>
                <w:b w:val="0"/>
                <w:color w:val="000000"/>
                <w:sz w:val="18"/>
              </w:rPr>
              <w:t>Input projection to 64, ReLU, two residual blocks. Each block uses dense 64, ReLU, dropout 0.2 and dense 64, adds its input and applies ReLU. A linear output yields a logit.</w:t>
            </w:r>
          </w:p>
        </w:tc>
      </w:tr>
      <w:tr>
        <w:trPr>
          <w:cantSplit/>
        </w:trPr>
        <w:tc>
          <w:tcPr>
            <w:tcW w:type="dxa" w:w="2160"/>
            <w:vAlign w:val="center"/>
            <w:shd w:fill="FFFFFF"/>
            <w:tcMar>
              <w:top w:w="80" w:type="dxa"/>
              <w:bottom w:w="80" w:type="dxa"/>
              <w:left w:w="80" w:type="dxa"/>
              <w:right w:w="80" w:type="dxa"/>
            </w:tcMar>
          </w:tcPr>
          <w:p>
            <w:pPr>
              <w:spacing w:after="40" w:before="40" w:line="252" w:lineRule="auto"/>
              <w:jc w:val="left"/>
            </w:pPr>
            <w:r>
              <w:rPr>
                <w:b w:val="0"/>
                <w:color w:val="000000"/>
                <w:sz w:val="18"/>
              </w:rPr>
              <w:t>1D CNN</w:t>
            </w:r>
          </w:p>
        </w:tc>
        <w:tc>
          <w:tcPr>
            <w:tcW w:type="dxa" w:w="7416"/>
            <w:vAlign w:val="center"/>
            <w:shd w:fill="FFFFFF"/>
            <w:tcMar>
              <w:top w:w="80" w:type="dxa"/>
              <w:bottom w:w="80" w:type="dxa"/>
              <w:left w:w="80" w:type="dxa"/>
              <w:right w:w="80" w:type="dxa"/>
            </w:tcMar>
          </w:tcPr>
          <w:p>
            <w:pPr>
              <w:spacing w:after="40" w:before="40" w:line="252" w:lineRule="auto"/>
              <w:jc w:val="center"/>
            </w:pPr>
            <w:r>
              <w:rPr>
                <w:b w:val="0"/>
                <w:color w:val="000000"/>
                <w:sz w:val="18"/>
              </w:rPr>
              <w:t>Treat the fixed feature vector as one channel. Conv1d 1 to 8 and 8 to 16, both kernel 3 and padding 1, each followed by ReLU. Flatten, dropout 0.2, dense 32, ReLU and scalar logit.</w:t>
            </w:r>
          </w:p>
        </w:tc>
      </w:tr>
    </w:tbl>
    <w:p>
      <w:pPr>
        <w:widowControl/>
        <w:spacing w:after="0"/>
      </w:pPr>
    </w:p>
    <w:p>
      <w:pPr>
        <w:widowControl/>
      </w:pPr>
      <w:r>
        <w:t>All neural models use weighted binary cross entropy with logits, with positive weight equal to the training negative-to-positive ratio (15.6667 for the random split) [5]. AdamW uses learning rate 0.001 and weight decay 0.0001. Batch size is 128. The maximum is 100 epochs, with patience 15 and checkpoint selection by validation AP. Seed 42, two CPU threads and deterministic PyTorch operations control the run. The saved best checkpoint, rather than the final epoch, supplies evaluation scores.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368"/>
        <w:gridCol w:w="1872"/>
        <w:gridCol w:w="2304"/>
      </w:tblGrid>
      <w:tr>
        <w:trPr>
          <w:tblHeader/>
          <w:cantSplit/>
        </w:trPr>
        <w:tc>
          <w:tcPr>
            <w:tcW w:type="dxa" w:w="2880"/>
            <w:vAlign w:val="center"/>
            <w:shd w:fill="183B4A"/>
            <w:tcMar>
              <w:top w:w="80" w:type="dxa"/>
              <w:bottom w:w="80" w:type="dxa"/>
              <w:left w:w="80" w:type="dxa"/>
              <w:right w:w="80" w:type="dxa"/>
            </w:tcMar>
          </w:tcPr>
          <w:p>
            <w:pPr>
              <w:spacing w:after="40" w:before="40" w:line="252" w:lineRule="auto"/>
              <w:jc w:val="left"/>
            </w:pPr>
            <w:r>
              <w:rPr>
                <w:b/>
                <w:color w:val="FFFFFF"/>
                <w:sz w:val="18"/>
              </w:rPr>
              <w:t>Intake model</w:t>
            </w:r>
          </w:p>
        </w:tc>
        <w:tc>
          <w:tcPr>
            <w:tcW w:type="dxa" w:w="1368"/>
            <w:vAlign w:val="center"/>
            <w:shd w:fill="183B4A"/>
            <w:tcMar>
              <w:top w:w="80" w:type="dxa"/>
              <w:bottom w:w="80" w:type="dxa"/>
              <w:left w:w="80" w:type="dxa"/>
              <w:right w:w="80" w:type="dxa"/>
            </w:tcMar>
          </w:tcPr>
          <w:p>
            <w:pPr>
              <w:spacing w:after="40" w:before="40" w:line="252" w:lineRule="auto"/>
              <w:jc w:val="center"/>
            </w:pPr>
            <w:r>
              <w:rPr>
                <w:b/>
                <w:color w:val="FFFFFF"/>
                <w:sz w:val="18"/>
              </w:rPr>
              <w:t>Best epoch</w:t>
            </w:r>
          </w:p>
        </w:tc>
        <w:tc>
          <w:tcPr>
            <w:tcW w:type="dxa" w:w="1872"/>
            <w:vAlign w:val="center"/>
            <w:shd w:fill="183B4A"/>
            <w:tcMar>
              <w:top w:w="80" w:type="dxa"/>
              <w:bottom w:w="80" w:type="dxa"/>
              <w:left w:w="80" w:type="dxa"/>
              <w:right w:w="80" w:type="dxa"/>
            </w:tcMar>
          </w:tcPr>
          <w:p>
            <w:pPr>
              <w:spacing w:after="40" w:before="40" w:line="252" w:lineRule="auto"/>
              <w:jc w:val="center"/>
            </w:pPr>
            <w:r>
              <w:rPr>
                <w:b/>
                <w:color w:val="FFFFFF"/>
                <w:sz w:val="18"/>
              </w:rPr>
              <w:t>Epochs run</w:t>
            </w:r>
          </w:p>
        </w:tc>
        <w:tc>
          <w:tcPr>
            <w:tcW w:type="dxa" w:w="2304"/>
            <w:vAlign w:val="center"/>
            <w:shd w:fill="183B4A"/>
            <w:tcMar>
              <w:top w:w="80" w:type="dxa"/>
              <w:bottom w:w="80" w:type="dxa"/>
              <w:left w:w="80" w:type="dxa"/>
              <w:right w:w="80" w:type="dxa"/>
            </w:tcMar>
          </w:tcPr>
          <w:p>
            <w:pPr>
              <w:spacing w:after="40" w:before="40" w:line="252" w:lineRule="auto"/>
              <w:jc w:val="center"/>
            </w:pPr>
            <w:r>
              <w:rPr>
                <w:b/>
                <w:color w:val="FFFFFF"/>
                <w:sz w:val="18"/>
              </w:rPr>
              <w:t>Parameters</w:t>
            </w:r>
          </w:p>
        </w:tc>
      </w:tr>
      <w:tr>
        <w:trPr>
          <w:cantSplit/>
        </w:trPr>
        <w:tc>
          <w:tcPr>
            <w:tcW w:type="dxa" w:w="2880"/>
            <w:vAlign w:val="center"/>
            <w:shd w:fill="FFFFFF"/>
            <w:tcMar>
              <w:top w:w="80" w:type="dxa"/>
              <w:bottom w:w="80" w:type="dxa"/>
              <w:left w:w="80" w:type="dxa"/>
              <w:right w:w="80" w:type="dxa"/>
            </w:tcMar>
          </w:tcPr>
          <w:p>
            <w:pPr>
              <w:spacing w:after="40" w:before="40" w:line="252" w:lineRule="auto"/>
              <w:jc w:val="left"/>
            </w:pPr>
            <w:r>
              <w:rPr>
                <w:b w:val="0"/>
                <w:color w:val="000000"/>
                <w:sz w:val="18"/>
              </w:rPr>
              <w:t>MLP</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27</w:t>
            </w:r>
          </w:p>
        </w:tc>
        <w:tc>
          <w:tcPr>
            <w:tcW w:type="dxa" w:w="1872"/>
            <w:vAlign w:val="center"/>
            <w:shd w:fill="FFFFFF"/>
            <w:tcMar>
              <w:top w:w="80" w:type="dxa"/>
              <w:bottom w:w="80" w:type="dxa"/>
              <w:left w:w="80" w:type="dxa"/>
              <w:right w:w="80" w:type="dxa"/>
            </w:tcMar>
          </w:tcPr>
          <w:p>
            <w:pPr>
              <w:spacing w:after="40" w:before="40" w:line="252" w:lineRule="auto"/>
              <w:jc w:val="center"/>
            </w:pPr>
            <w:r>
              <w:rPr>
                <w:b w:val="0"/>
                <w:color w:val="000000"/>
                <w:sz w:val="18"/>
              </w:rPr>
              <w:t>42</w:t>
            </w:r>
          </w:p>
        </w:tc>
        <w:tc>
          <w:tcPr>
            <w:tcW w:type="dxa" w:w="2304"/>
            <w:vAlign w:val="center"/>
            <w:shd w:fill="FFFFFF"/>
            <w:tcMar>
              <w:top w:w="80" w:type="dxa"/>
              <w:bottom w:w="80" w:type="dxa"/>
              <w:left w:w="80" w:type="dxa"/>
              <w:right w:w="80" w:type="dxa"/>
            </w:tcMar>
          </w:tcPr>
          <w:p>
            <w:pPr>
              <w:spacing w:after="40" w:before="40" w:line="252" w:lineRule="auto"/>
              <w:jc w:val="center"/>
            </w:pPr>
            <w:r>
              <w:rPr>
                <w:b w:val="0"/>
                <w:color w:val="000000"/>
                <w:sz w:val="18"/>
              </w:rPr>
              <w:t>3969</w:t>
            </w:r>
          </w:p>
        </w:tc>
      </w:tr>
      <w:tr>
        <w:trPr>
          <w:cantSplit/>
        </w:trPr>
        <w:tc>
          <w:tcPr>
            <w:tcW w:type="dxa" w:w="2880"/>
            <w:vAlign w:val="center"/>
            <w:shd w:fill="F1F5F6"/>
            <w:tcMar>
              <w:top w:w="80" w:type="dxa"/>
              <w:bottom w:w="80" w:type="dxa"/>
              <w:left w:w="80" w:type="dxa"/>
              <w:right w:w="80" w:type="dxa"/>
            </w:tcMar>
          </w:tcPr>
          <w:p>
            <w:pPr>
              <w:spacing w:after="40" w:before="40" w:line="252" w:lineRule="auto"/>
              <w:jc w:val="left"/>
            </w:pPr>
            <w:r>
              <w:rPr>
                <w:b w:val="0"/>
                <w:color w:val="000000"/>
                <w:sz w:val="18"/>
              </w:rPr>
              <w:t>Residual MLP</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27</w:t>
            </w:r>
          </w:p>
        </w:tc>
        <w:tc>
          <w:tcPr>
            <w:tcW w:type="dxa" w:w="1872"/>
            <w:vAlign w:val="center"/>
            <w:shd w:fill="F1F5F6"/>
            <w:tcMar>
              <w:top w:w="80" w:type="dxa"/>
              <w:bottom w:w="80" w:type="dxa"/>
              <w:left w:w="80" w:type="dxa"/>
              <w:right w:w="80" w:type="dxa"/>
            </w:tcMar>
          </w:tcPr>
          <w:p>
            <w:pPr>
              <w:spacing w:after="40" w:before="40" w:line="252" w:lineRule="auto"/>
              <w:jc w:val="center"/>
            </w:pPr>
            <w:r>
              <w:rPr>
                <w:b w:val="0"/>
                <w:color w:val="000000"/>
                <w:sz w:val="18"/>
              </w:rPr>
              <w:t>42</w:t>
            </w:r>
          </w:p>
        </w:tc>
        <w:tc>
          <w:tcPr>
            <w:tcW w:type="dxa" w:w="2304"/>
            <w:vAlign w:val="center"/>
            <w:shd w:fill="F1F5F6"/>
            <w:tcMar>
              <w:top w:w="80" w:type="dxa"/>
              <w:bottom w:w="80" w:type="dxa"/>
              <w:left w:w="80" w:type="dxa"/>
              <w:right w:w="80" w:type="dxa"/>
            </w:tcMar>
          </w:tcPr>
          <w:p>
            <w:pPr>
              <w:spacing w:after="40" w:before="40" w:line="252" w:lineRule="auto"/>
              <w:jc w:val="center"/>
            </w:pPr>
            <w:r>
              <w:rPr>
                <w:b w:val="0"/>
                <w:color w:val="000000"/>
                <w:sz w:val="18"/>
              </w:rPr>
              <w:t>18561</w:t>
            </w:r>
          </w:p>
        </w:tc>
      </w:tr>
      <w:tr>
        <w:trPr>
          <w:cantSplit/>
        </w:trPr>
        <w:tc>
          <w:tcPr>
            <w:tcW w:type="dxa" w:w="2880"/>
            <w:vAlign w:val="center"/>
            <w:shd w:fill="FFFFFF"/>
            <w:tcMar>
              <w:top w:w="80" w:type="dxa"/>
              <w:bottom w:w="80" w:type="dxa"/>
              <w:left w:w="80" w:type="dxa"/>
              <w:right w:w="80" w:type="dxa"/>
            </w:tcMar>
          </w:tcPr>
          <w:p>
            <w:pPr>
              <w:spacing w:after="40" w:before="40" w:line="252" w:lineRule="auto"/>
              <w:jc w:val="left"/>
            </w:pPr>
            <w:r>
              <w:rPr>
                <w:b w:val="0"/>
                <w:color w:val="000000"/>
                <w:sz w:val="18"/>
              </w:rPr>
              <w:t>1D CNN</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57</w:t>
            </w:r>
          </w:p>
        </w:tc>
        <w:tc>
          <w:tcPr>
            <w:tcW w:type="dxa" w:w="1872"/>
            <w:vAlign w:val="center"/>
            <w:shd w:fill="FFFFFF"/>
            <w:tcMar>
              <w:top w:w="80" w:type="dxa"/>
              <w:bottom w:w="80" w:type="dxa"/>
              <w:left w:w="80" w:type="dxa"/>
              <w:right w:w="80" w:type="dxa"/>
            </w:tcMar>
          </w:tcPr>
          <w:p>
            <w:pPr>
              <w:spacing w:after="40" w:before="40" w:line="252" w:lineRule="auto"/>
              <w:jc w:val="center"/>
            </w:pPr>
            <w:r>
              <w:rPr>
                <w:b w:val="0"/>
                <w:color w:val="000000"/>
                <w:sz w:val="18"/>
              </w:rPr>
              <w:t>72</w:t>
            </w:r>
          </w:p>
        </w:tc>
        <w:tc>
          <w:tcPr>
            <w:tcW w:type="dxa" w:w="2304"/>
            <w:vAlign w:val="center"/>
            <w:shd w:fill="FFFFFF"/>
            <w:tcMar>
              <w:top w:w="80" w:type="dxa"/>
              <w:bottom w:w="80" w:type="dxa"/>
              <w:left w:w="80" w:type="dxa"/>
              <w:right w:w="80" w:type="dxa"/>
            </w:tcMar>
          </w:tcPr>
          <w:p>
            <w:pPr>
              <w:spacing w:after="40" w:before="40" w:line="252" w:lineRule="auto"/>
              <w:jc w:val="center"/>
            </w:pPr>
            <w:r>
              <w:rPr>
                <w:b w:val="0"/>
                <w:color w:val="000000"/>
                <w:sz w:val="18"/>
              </w:rPr>
              <w:t>14833</w:t>
            </w:r>
          </w:p>
        </w:tc>
      </w:tr>
    </w:tbl>
    <w:p>
      <w:pPr>
        <w:widowControl/>
        <w:spacing w:after="0"/>
      </w:pPr>
    </w:p>
    <w:p>
      <w:r>
        <w:drawing>
          <wp:inline xmlns:a="http://schemas.openxmlformats.org/drawingml/2006/main" xmlns:pic="http://schemas.openxmlformats.org/drawingml/2006/picture">
            <wp:extent cx="5669280" cy="2915630"/>
            <wp:docPr id="1" name="Picture 1"/>
            <wp:cNvGraphicFramePr>
              <a:graphicFrameLocks noChangeAspect="1"/>
            </wp:cNvGraphicFramePr>
            <a:graphic>
              <a:graphicData uri="http://schemas.openxmlformats.org/drawingml/2006/picture">
                <pic:pic>
                  <pic:nvPicPr>
                    <pic:cNvPr id="0" name="neural_training.png"/>
                    <pic:cNvPicPr/>
                  </pic:nvPicPr>
                  <pic:blipFill>
                    <a:blip r:embed="rId10"/>
                    <a:stretch>
                      <a:fillRect/>
                    </a:stretch>
                  </pic:blipFill>
                  <pic:spPr>
                    <a:xfrm>
                      <a:off x="0" y="0"/>
                      <a:ext cx="5669280" cy="2915630"/>
                    </a:xfrm>
                    <a:prstGeom prst="rect"/>
                  </pic:spPr>
                </pic:pic>
              </a:graphicData>
            </a:graphic>
          </wp:inline>
        </w:drawing>
      </w:r>
    </w:p>
    <w:p>
      <w:pPr>
        <w:widowControl/>
        <w:spacing w:after="160"/>
      </w:pPr>
      <w:r>
        <w:rPr>
          <w:i/>
          <w:sz w:val="18"/>
        </w:rPr>
        <w:t>Figure 1  Intake validation AP by epoch. Each architecture restores its own best validation checkpoint.</w:t>
      </w:r>
    </w:p>
    <w:p>
      <w:pPr>
        <w:widowControl/>
      </w:pPr>
      <w:r>
        <w:t>The residual connections provide an additional dense comparator. The CNN uses a feature ordering fixed by preprocessing, although categorical and numeric columns have no physical spatial structure. Its outcome is specific to this encoding. The comparison does not assume that deep learning must outperform tree ensembles on tabular data [6].</w:t>
      </w:r>
    </w:p>
    <w:p>
      <w:pPr>
        <w:pStyle w:val="Heading1"/>
        <w:pageBreakBefore/>
      </w:pPr>
      <w:r>
        <w:t>6 Evaluation and threshold selection</w:t>
      </w:r>
    </w:p>
    <w:p>
      <w:pPr>
        <w:widowControl/>
      </w:pPr>
      <w:r>
        <w:t>Let TP and TN denote correctly flagged fraud and correctly unflagged legitimate claims. FP denotes a legitimate claim flagged for review; FN denotes a fraud claim below the decision threshold.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632"/>
      </w:tblGrid>
      <w:tr>
        <w:trPr>
          <w:tblHeader/>
          <w:cantSplit/>
        </w:trPr>
        <w:tc>
          <w:tcPr>
            <w:tcW w:type="dxa" w:w="1944"/>
            <w:vAlign w:val="center"/>
            <w:shd w:fill="183B4A"/>
            <w:tcMar>
              <w:top w:w="80" w:type="dxa"/>
              <w:bottom w:w="80" w:type="dxa"/>
              <w:left w:w="80" w:type="dxa"/>
              <w:right w:w="80" w:type="dxa"/>
            </w:tcMar>
          </w:tcPr>
          <w:p>
            <w:pPr>
              <w:spacing w:after="40" w:before="40" w:line="252" w:lineRule="auto"/>
              <w:jc w:val="left"/>
            </w:pPr>
            <w:r>
              <w:rPr>
                <w:b/>
                <w:color w:val="FFFFFF"/>
                <w:sz w:val="18"/>
              </w:rPr>
              <w:t>Measure</w:t>
            </w:r>
          </w:p>
        </w:tc>
        <w:tc>
          <w:tcPr>
            <w:tcW w:type="dxa" w:w="7632"/>
            <w:vAlign w:val="center"/>
            <w:shd w:fill="183B4A"/>
            <w:tcMar>
              <w:top w:w="80" w:type="dxa"/>
              <w:bottom w:w="80" w:type="dxa"/>
              <w:left w:w="80" w:type="dxa"/>
              <w:right w:w="80" w:type="dxa"/>
            </w:tcMar>
          </w:tcPr>
          <w:p>
            <w:pPr>
              <w:spacing w:after="40" w:before="40" w:line="252" w:lineRule="auto"/>
              <w:jc w:val="center"/>
            </w:pPr>
            <w:r>
              <w:rPr>
                <w:b/>
                <w:color w:val="FFFFFF"/>
                <w:sz w:val="18"/>
              </w:rPr>
              <w:t>Definition</w:t>
            </w:r>
          </w:p>
        </w:tc>
      </w:tr>
      <w:tr>
        <w:trPr>
          <w:cantSplit/>
        </w:trPr>
        <w:tc>
          <w:tcPr>
            <w:tcW w:type="dxa" w:w="1944"/>
            <w:vAlign w:val="center"/>
            <w:shd w:fill="FFFFFF"/>
            <w:tcMar>
              <w:top w:w="80" w:type="dxa"/>
              <w:bottom w:w="80" w:type="dxa"/>
              <w:left w:w="80" w:type="dxa"/>
              <w:right w:w="80" w:type="dxa"/>
            </w:tcMar>
          </w:tcPr>
          <w:p>
            <w:pPr>
              <w:spacing w:after="40" w:before="40" w:line="252" w:lineRule="auto"/>
              <w:jc w:val="left"/>
            </w:pPr>
            <w:r>
              <w:rPr>
                <w:b w:val="0"/>
                <w:color w:val="000000"/>
                <w:sz w:val="18"/>
              </w:rPr>
              <w:t>Accuracy</w:t>
            </w:r>
          </w:p>
        </w:tc>
        <w:tc>
          <w:tcPr>
            <w:tcW w:type="dxa" w:w="7632"/>
            <w:vAlign w:val="center"/>
            <w:shd w:fill="FFFFFF"/>
            <w:tcMar>
              <w:top w:w="80" w:type="dxa"/>
              <w:bottom w:w="80" w:type="dxa"/>
              <w:left w:w="80" w:type="dxa"/>
              <w:right w:w="80" w:type="dxa"/>
            </w:tcMar>
          </w:tcPr>
          <w:p>
            <w:pPr>
              <w:spacing w:after="40" w:before="40" w:line="252" w:lineRule="auto"/>
              <w:jc w:val="center"/>
            </w:pPr>
            <w:r>
              <w:rPr>
                <w:b w:val="0"/>
                <w:color w:val="000000"/>
                <w:sz w:val="18"/>
              </w:rPr>
              <w:t>(TP + TN) / (TP + TN + FP + FN)</w:t>
            </w:r>
          </w:p>
        </w:tc>
      </w:tr>
      <w:tr>
        <w:trPr>
          <w:cantSplit/>
        </w:trPr>
        <w:tc>
          <w:tcPr>
            <w:tcW w:type="dxa" w:w="1944"/>
            <w:vAlign w:val="center"/>
            <w:shd w:fill="F1F5F6"/>
            <w:tcMar>
              <w:top w:w="80" w:type="dxa"/>
              <w:bottom w:w="80" w:type="dxa"/>
              <w:left w:w="80" w:type="dxa"/>
              <w:right w:w="80" w:type="dxa"/>
            </w:tcMar>
          </w:tcPr>
          <w:p>
            <w:pPr>
              <w:spacing w:after="40" w:before="40" w:line="252" w:lineRule="auto"/>
              <w:jc w:val="left"/>
            </w:pPr>
            <w:r>
              <w:rPr>
                <w:b w:val="0"/>
                <w:color w:val="000000"/>
                <w:sz w:val="18"/>
              </w:rPr>
              <w:t>Precision</w:t>
            </w:r>
          </w:p>
        </w:tc>
        <w:tc>
          <w:tcPr>
            <w:tcW w:type="dxa" w:w="7632"/>
            <w:vAlign w:val="center"/>
            <w:shd w:fill="F1F5F6"/>
            <w:tcMar>
              <w:top w:w="80" w:type="dxa"/>
              <w:bottom w:w="80" w:type="dxa"/>
              <w:left w:w="80" w:type="dxa"/>
              <w:right w:w="80" w:type="dxa"/>
            </w:tcMar>
          </w:tcPr>
          <w:p>
            <w:pPr>
              <w:spacing w:after="40" w:before="40" w:line="252" w:lineRule="auto"/>
              <w:jc w:val="center"/>
            </w:pPr>
            <w:r>
              <w:rPr>
                <w:b w:val="0"/>
                <w:color w:val="000000"/>
                <w:sz w:val="18"/>
              </w:rPr>
              <w:t>TP / (TP + FP)</w:t>
            </w:r>
          </w:p>
        </w:tc>
      </w:tr>
      <w:tr>
        <w:trPr>
          <w:cantSplit/>
        </w:trPr>
        <w:tc>
          <w:tcPr>
            <w:tcW w:type="dxa" w:w="1944"/>
            <w:vAlign w:val="center"/>
            <w:shd w:fill="FFFFFF"/>
            <w:tcMar>
              <w:top w:w="80" w:type="dxa"/>
              <w:bottom w:w="80" w:type="dxa"/>
              <w:left w:w="80" w:type="dxa"/>
              <w:right w:w="80" w:type="dxa"/>
            </w:tcMar>
          </w:tcPr>
          <w:p>
            <w:pPr>
              <w:spacing w:after="40" w:before="40" w:line="252" w:lineRule="auto"/>
              <w:jc w:val="left"/>
            </w:pPr>
            <w:r>
              <w:rPr>
                <w:b w:val="0"/>
                <w:color w:val="000000"/>
                <w:sz w:val="18"/>
              </w:rPr>
              <w:t>Recall</w:t>
            </w:r>
          </w:p>
        </w:tc>
        <w:tc>
          <w:tcPr>
            <w:tcW w:type="dxa" w:w="7632"/>
            <w:vAlign w:val="center"/>
            <w:shd w:fill="FFFFFF"/>
            <w:tcMar>
              <w:top w:w="80" w:type="dxa"/>
              <w:bottom w:w="80" w:type="dxa"/>
              <w:left w:w="80" w:type="dxa"/>
              <w:right w:w="80" w:type="dxa"/>
            </w:tcMar>
          </w:tcPr>
          <w:p>
            <w:pPr>
              <w:spacing w:after="40" w:before="40" w:line="252" w:lineRule="auto"/>
              <w:jc w:val="center"/>
            </w:pPr>
            <w:r>
              <w:rPr>
                <w:b w:val="0"/>
                <w:color w:val="000000"/>
                <w:sz w:val="18"/>
              </w:rPr>
              <w:t>TP / (TP + FN)</w:t>
            </w:r>
          </w:p>
        </w:tc>
      </w:tr>
      <w:tr>
        <w:trPr>
          <w:cantSplit/>
        </w:trPr>
        <w:tc>
          <w:tcPr>
            <w:tcW w:type="dxa" w:w="1944"/>
            <w:vAlign w:val="center"/>
            <w:shd w:fill="F1F5F6"/>
            <w:tcMar>
              <w:top w:w="80" w:type="dxa"/>
              <w:bottom w:w="80" w:type="dxa"/>
              <w:left w:w="80" w:type="dxa"/>
              <w:right w:w="80" w:type="dxa"/>
            </w:tcMar>
          </w:tcPr>
          <w:p>
            <w:pPr>
              <w:spacing w:after="40" w:before="40" w:line="252" w:lineRule="auto"/>
              <w:jc w:val="left"/>
            </w:pPr>
            <w:r>
              <w:rPr>
                <w:b w:val="0"/>
                <w:color w:val="000000"/>
                <w:sz w:val="18"/>
              </w:rPr>
              <w:t>F1</w:t>
            </w:r>
          </w:p>
        </w:tc>
        <w:tc>
          <w:tcPr>
            <w:tcW w:type="dxa" w:w="7632"/>
            <w:vAlign w:val="center"/>
            <w:shd w:fill="F1F5F6"/>
            <w:tcMar>
              <w:top w:w="80" w:type="dxa"/>
              <w:bottom w:w="80" w:type="dxa"/>
              <w:left w:w="80" w:type="dxa"/>
              <w:right w:w="80" w:type="dxa"/>
            </w:tcMar>
          </w:tcPr>
          <w:p>
            <w:pPr>
              <w:spacing w:after="40" w:before="40" w:line="252" w:lineRule="auto"/>
              <w:jc w:val="center"/>
            </w:pPr>
            <w:r>
              <w:rPr>
                <w:b w:val="0"/>
                <w:color w:val="000000"/>
                <w:sz w:val="18"/>
              </w:rPr>
              <w:t>2 TP / (2 TP + FP + FN)</w:t>
            </w:r>
          </w:p>
        </w:tc>
      </w:tr>
      <w:tr>
        <w:trPr>
          <w:cantSplit/>
        </w:trPr>
        <w:tc>
          <w:tcPr>
            <w:tcW w:type="dxa" w:w="1944"/>
            <w:vAlign w:val="center"/>
            <w:shd w:fill="FFFFFF"/>
            <w:tcMar>
              <w:top w:w="80" w:type="dxa"/>
              <w:bottom w:w="80" w:type="dxa"/>
              <w:left w:w="80" w:type="dxa"/>
              <w:right w:w="80" w:type="dxa"/>
            </w:tcMar>
          </w:tcPr>
          <w:p>
            <w:pPr>
              <w:spacing w:after="40" w:before="40" w:line="252" w:lineRule="auto"/>
              <w:jc w:val="left"/>
            </w:pPr>
            <w:r>
              <w:rPr>
                <w:b w:val="0"/>
                <w:color w:val="000000"/>
                <w:sz w:val="18"/>
              </w:rPr>
              <w:t>Average precision</w:t>
            </w:r>
          </w:p>
        </w:tc>
        <w:tc>
          <w:tcPr>
            <w:tcW w:type="dxa" w:w="7632"/>
            <w:vAlign w:val="center"/>
            <w:shd w:fill="FFFFFF"/>
            <w:tcMar>
              <w:top w:w="80" w:type="dxa"/>
              <w:bottom w:w="80" w:type="dxa"/>
              <w:left w:w="80" w:type="dxa"/>
              <w:right w:w="80" w:type="dxa"/>
            </w:tcMar>
          </w:tcPr>
          <w:p>
            <w:pPr>
              <w:spacing w:after="40" w:before="40" w:line="252" w:lineRule="auto"/>
              <w:jc w:val="center"/>
            </w:pPr>
            <w:r>
              <w:rPr>
                <w:b w:val="0"/>
                <w:color w:val="000000"/>
                <w:sz w:val="18"/>
              </w:rPr>
              <w:t>Sum over score groups of (R_k - R_(k-1)) P_k</w:t>
            </w:r>
          </w:p>
        </w:tc>
      </w:tr>
      <w:tr>
        <w:trPr>
          <w:cantSplit/>
        </w:trPr>
        <w:tc>
          <w:tcPr>
            <w:tcW w:type="dxa" w:w="1944"/>
            <w:vAlign w:val="center"/>
            <w:shd w:fill="F1F5F6"/>
            <w:tcMar>
              <w:top w:w="80" w:type="dxa"/>
              <w:bottom w:w="80" w:type="dxa"/>
              <w:left w:w="80" w:type="dxa"/>
              <w:right w:w="80" w:type="dxa"/>
            </w:tcMar>
          </w:tcPr>
          <w:p>
            <w:pPr>
              <w:spacing w:after="40" w:before="40" w:line="252" w:lineRule="auto"/>
              <w:jc w:val="left"/>
            </w:pPr>
            <w:r>
              <w:rPr>
                <w:b w:val="0"/>
                <w:color w:val="000000"/>
                <w:sz w:val="18"/>
              </w:rPr>
              <w:t>ROC AUC</w:t>
            </w:r>
          </w:p>
        </w:tc>
        <w:tc>
          <w:tcPr>
            <w:tcW w:type="dxa" w:w="7632"/>
            <w:vAlign w:val="center"/>
            <w:shd w:fill="F1F5F6"/>
            <w:tcMar>
              <w:top w:w="80" w:type="dxa"/>
              <w:bottom w:w="80" w:type="dxa"/>
              <w:left w:w="80" w:type="dxa"/>
              <w:right w:w="80" w:type="dxa"/>
            </w:tcMar>
          </w:tcPr>
          <w:p>
            <w:pPr>
              <w:spacing w:after="40" w:before="40" w:line="252" w:lineRule="auto"/>
              <w:jc w:val="center"/>
            </w:pPr>
            <w:r>
              <w:rPr>
                <w:b w:val="0"/>
                <w:color w:val="000000"/>
                <w:sz w:val="18"/>
              </w:rPr>
              <w:t>Probability that a fraud score exceeds a legitimate score, with half credit for a tie</w:t>
            </w:r>
          </w:p>
        </w:tc>
      </w:tr>
    </w:tbl>
    <w:p>
      <w:pPr>
        <w:widowControl/>
        <w:spacing w:after="0"/>
      </w:pPr>
    </w:p>
    <w:p>
      <w:pPr>
        <w:widowControl/>
      </w:pPr>
      <w:r>
        <w:t>P_k and R_k are precision and recall after including a tied-score group in descending score order. AP uses recall increments as weights [2]. ROC AUC measures ranking across the two classes [3]. Zero-positive precision is defined as zero. Every score is uncalibrated.</w:t>
      </w:r>
    </w:p>
    <w:p>
      <w:pPr>
        <w:widowControl/>
      </w:pPr>
      <w:r>
        <w:t>A fixed all-legitimate classifier obtains 94.00% accuracy on the full workbook and 94.0741% on the random test set, with zero fraud recall and F1. AP for a constant score equals prevalence. This provides a more informative reference than accuracy alone. Random-test prevalence is 40/675 = 0.0593.</w:t>
      </w:r>
    </w:p>
    <w:p>
      <w:pPr>
        <w:widowControl/>
      </w:pPr>
      <w:r>
        <w:t>Each model selects the threshold that maximizes validation F1. Ties choose the larger threshold. Ranking for the default intake model uses validation AP rounded to 12 decimals, validation F1 and finally the declared model order. The rule selects Random Forest. Test scores do not select a model or threshold. The complete results retain both the 0.5 and validation-F1 policies.</w:t>
      </w:r>
    </w:p>
    <w:p>
      <w:pPr>
        <w:pStyle w:val="Heading2"/>
      </w:pPr>
      <w:r>
        <w:t>6 1 Worked numerical check</w:t>
      </w:r>
    </w:p>
    <w:p>
      <w:pPr>
        <w:widowControl/>
      </w:pPr>
      <w:r>
        <w:t>For intake Random Forest, the validation threshold is 0.4166667. On the test split, TN = 635, FP = 0, FN = 1 and TP = 39. Accuracy = (635 + 39)/675 = 99.8519%. Precision = 39/(39 + 0) = 100.00%. Recall = 39/(39 + 1) = 97.50%. F1 = 78/(78 + 0 + 1) = 0.987342. The same counts and equations appear in the saved evaluation evidence.</w:t>
      </w:r>
    </w:p>
    <w:p>
      <w:pPr>
        <w:widowControl/>
      </w:pPr>
      <w:r>
        <w:t>The verification script recomputes threshold metrics from counts and independently computes AP from tied score groups and ROC AUC from ranks. All 128 rows reconcile. A saved CSV prediction is therefore the traceable basis of every reported result, rather than a copied plot label.</w:t>
      </w:r>
    </w:p>
    <w:p>
      <w:pPr>
        <w:pStyle w:val="Heading1"/>
        <w:pageBreakBefore/>
      </w:pPr>
      <w:r>
        <w:t>7 Main comparison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080"/>
        <w:gridCol w:w="1368"/>
        <w:gridCol w:w="1368"/>
        <w:gridCol w:w="1080"/>
        <w:gridCol w:w="936"/>
      </w:tblGrid>
      <w:tr>
        <w:trPr>
          <w:tblHeader/>
          <w:cantSplit/>
        </w:trPr>
        <w:tc>
          <w:tcPr>
            <w:tcW w:type="dxa" w:w="2376"/>
            <w:vAlign w:val="center"/>
            <w:shd w:fill="183B4A"/>
            <w:tcMar>
              <w:top w:w="80" w:type="dxa"/>
              <w:bottom w:w="80" w:type="dxa"/>
              <w:left w:w="80" w:type="dxa"/>
              <w:right w:w="80" w:type="dxa"/>
            </w:tcMar>
          </w:tcPr>
          <w:p>
            <w:pPr>
              <w:spacing w:after="40" w:before="40" w:line="252" w:lineRule="auto"/>
              <w:jc w:val="left"/>
            </w:pPr>
            <w:r>
              <w:rPr>
                <w:b/>
                <w:color w:val="FFFFFF"/>
                <w:sz w:val="18"/>
              </w:rPr>
              <w:t>Model</w:t>
            </w:r>
          </w:p>
        </w:tc>
        <w:tc>
          <w:tcPr>
            <w:tcW w:type="dxa" w:w="1080"/>
            <w:vAlign w:val="center"/>
            <w:shd w:fill="183B4A"/>
            <w:tcMar>
              <w:top w:w="80" w:type="dxa"/>
              <w:bottom w:w="80" w:type="dxa"/>
              <w:left w:w="80" w:type="dxa"/>
              <w:right w:w="80" w:type="dxa"/>
            </w:tcMar>
          </w:tcPr>
          <w:p>
            <w:pPr>
              <w:spacing w:after="40" w:before="40" w:line="252" w:lineRule="auto"/>
              <w:jc w:val="center"/>
            </w:pPr>
            <w:r>
              <w:rPr>
                <w:b/>
                <w:color w:val="FFFFFF"/>
                <w:sz w:val="18"/>
              </w:rPr>
              <w:t>AP</w:t>
            </w:r>
          </w:p>
        </w:tc>
        <w:tc>
          <w:tcPr>
            <w:tcW w:type="dxa" w:w="1368"/>
            <w:vAlign w:val="center"/>
            <w:shd w:fill="183B4A"/>
            <w:tcMar>
              <w:top w:w="80" w:type="dxa"/>
              <w:bottom w:w="80" w:type="dxa"/>
              <w:left w:w="80" w:type="dxa"/>
              <w:right w:w="80" w:type="dxa"/>
            </w:tcMar>
          </w:tcPr>
          <w:p>
            <w:pPr>
              <w:spacing w:after="40" w:before="40" w:line="252" w:lineRule="auto"/>
              <w:jc w:val="center"/>
            </w:pPr>
            <w:r>
              <w:rPr>
                <w:b/>
                <w:color w:val="FFFFFF"/>
                <w:sz w:val="18"/>
              </w:rPr>
              <w:t>Precision</w:t>
            </w:r>
          </w:p>
        </w:tc>
        <w:tc>
          <w:tcPr>
            <w:tcW w:type="dxa" w:w="1368"/>
            <w:vAlign w:val="center"/>
            <w:shd w:fill="183B4A"/>
            <w:tcMar>
              <w:top w:w="80" w:type="dxa"/>
              <w:bottom w:w="80" w:type="dxa"/>
              <w:left w:w="80" w:type="dxa"/>
              <w:right w:w="80" w:type="dxa"/>
            </w:tcMar>
          </w:tcPr>
          <w:p>
            <w:pPr>
              <w:spacing w:after="40" w:before="40" w:line="252" w:lineRule="auto"/>
              <w:jc w:val="center"/>
            </w:pPr>
            <w:r>
              <w:rPr>
                <w:b/>
                <w:color w:val="FFFFFF"/>
                <w:sz w:val="18"/>
              </w:rPr>
              <w:t>Recall</w:t>
            </w:r>
          </w:p>
        </w:tc>
        <w:tc>
          <w:tcPr>
            <w:tcW w:type="dxa" w:w="1080"/>
            <w:vAlign w:val="center"/>
            <w:shd w:fill="183B4A"/>
            <w:tcMar>
              <w:top w:w="80" w:type="dxa"/>
              <w:bottom w:w="80" w:type="dxa"/>
              <w:left w:w="80" w:type="dxa"/>
              <w:right w:w="80" w:type="dxa"/>
            </w:tcMar>
          </w:tcPr>
          <w:p>
            <w:pPr>
              <w:spacing w:after="40" w:before="40" w:line="252" w:lineRule="auto"/>
              <w:jc w:val="center"/>
            </w:pPr>
            <w:r>
              <w:rPr>
                <w:b/>
                <w:color w:val="FFFFFF"/>
                <w:sz w:val="18"/>
              </w:rPr>
              <w:t>F1</w:t>
            </w:r>
          </w:p>
        </w:tc>
        <w:tc>
          <w:tcPr>
            <w:tcW w:type="dxa" w:w="936"/>
            <w:vAlign w:val="center"/>
            <w:shd w:fill="183B4A"/>
            <w:tcMar>
              <w:top w:w="80" w:type="dxa"/>
              <w:bottom w:w="80" w:type="dxa"/>
              <w:left w:w="80" w:type="dxa"/>
              <w:right w:w="80" w:type="dxa"/>
            </w:tcMar>
          </w:tcPr>
          <w:p>
            <w:pPr>
              <w:spacing w:after="40" w:before="40" w:line="252" w:lineRule="auto"/>
              <w:jc w:val="center"/>
            </w:pPr>
            <w:r>
              <w:rPr>
                <w:b/>
                <w:color w:val="FFFFFF"/>
                <w:sz w:val="18"/>
              </w:rPr>
              <w:t>FP / FN</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Logistic Regression</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0.8525</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60.66%</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92.50%</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0.7327</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24 / 3</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Random Forest</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97.50%</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0.9873</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0 / 1</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XGBoost</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97.56%</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0.9877</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1 / 0</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SVM</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0.8181</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74.42%</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80.00%</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0.7711</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11 / 8</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Histogram GB</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0.9765</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97.50%</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0.9873</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0 / 1</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MLP</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0.8866</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74.00%</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92.50%</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0.8222</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13 / 3</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Residual MLP</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0.8765</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75.51%</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92.50%</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0.8315</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12 / 3</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1D CNN</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0.9667</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96.97%</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80.00%</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0.8767</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1 / 8</w:t>
            </w:r>
          </w:p>
        </w:tc>
      </w:tr>
    </w:tbl>
    <w:p>
      <w:pPr>
        <w:widowControl/>
        <w:spacing w:after="0"/>
      </w:pPr>
    </w:p>
    <w:p>
      <w:pPr>
        <w:widowControl/>
        <w:spacing w:after="160"/>
      </w:pPr>
      <w:r>
        <w:rPr>
          <w:i/>
          <w:sz w:val="18"/>
        </w:rPr>
        <w:t>Table 7  Intake experiment test results at validation-selected thresholds. Each algorithm uses the same 675 test rows.</w:t>
      </w:r>
    </w:p>
    <w:p>
      <w:pPr>
        <w:widowControl/>
      </w:pPr>
      <w:r>
        <w:t>Random Forest and XGBoost have perfect test ranking in the intake experiment. Random Forest misses one fraud claim, while XGBoost flags one legitimate claim. Histogram Gradient Boosting has the same count-level result as Random Forest, although its AP is lower. This illustrates why ranking quality and threshold quality should be reported together.</w:t>
      </w:r>
    </w:p>
    <w:p>
      <w:pPr>
        <w:widowControl/>
      </w:pPr>
      <w:r>
        <w:t>The 1D CNN has the highest neural AP, 0.9667. Its threshold of 0.9691 produces one false positive and eight false negatives. MLP and Residual MLP each detect 37 fraud cases but generate 13 and 12 false positives respectively. The operating point determines whether ranking improvements translate into a useful review workload.</w:t>
      </w:r>
    </w:p>
    <w:p>
      <w:r>
        <w:drawing>
          <wp:inline xmlns:a="http://schemas.openxmlformats.org/drawingml/2006/main" xmlns:pic="http://schemas.openxmlformats.org/drawingml/2006/picture">
            <wp:extent cx="5943600" cy="2377440"/>
            <wp:docPr id="2" name="Picture 2"/>
            <wp:cNvGraphicFramePr>
              <a:graphicFrameLocks noChangeAspect="1"/>
            </wp:cNvGraphicFramePr>
            <a:graphic>
              <a:graphicData uri="http://schemas.openxmlformats.org/drawingml/2006/picture">
                <pic:pic>
                  <pic:nvPicPr>
                    <pic:cNvPr id="0" name="selected_curves.png"/>
                    <pic:cNvPicPr/>
                  </pic:nvPicPr>
                  <pic:blipFill>
                    <a:blip r:embed="rId11"/>
                    <a:stretch>
                      <a:fillRect/>
                    </a:stretch>
                  </pic:blipFill>
                  <pic:spPr>
                    <a:xfrm>
                      <a:off x="0" y="0"/>
                      <a:ext cx="5943600" cy="2377440"/>
                    </a:xfrm>
                    <a:prstGeom prst="rect"/>
                  </pic:spPr>
                </pic:pic>
              </a:graphicData>
            </a:graphic>
          </wp:inline>
        </w:drawing>
      </w:r>
    </w:p>
    <w:p>
      <w:pPr>
        <w:widowControl/>
        <w:spacing w:after="160"/>
      </w:pPr>
      <w:r>
        <w:rPr>
          <w:i/>
          <w:sz w:val="18"/>
        </w:rPr>
        <w:t>Figure 2  Intake Random Forest precision recall and ROC curves. The dashed PR reference marks test prevalence.</w:t>
      </w:r>
    </w:p>
    <w:p>
      <w:pPr>
        <w:pStyle w:val="Heading1"/>
        <w:pageBreakBefore/>
      </w:pPr>
      <w:r>
        <w:t>8 Effects of threshold adjustment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728"/>
        <w:gridCol w:w="2880"/>
        <w:gridCol w:w="2376"/>
      </w:tblGrid>
      <w:tr>
        <w:trPr>
          <w:tblHeader/>
          <w:cantSplit/>
        </w:trPr>
        <w:tc>
          <w:tcPr>
            <w:tcW w:type="dxa" w:w="2592"/>
            <w:vAlign w:val="center"/>
            <w:shd w:fill="183B4A"/>
            <w:tcMar>
              <w:top w:w="80" w:type="dxa"/>
              <w:bottom w:w="80" w:type="dxa"/>
              <w:left w:w="80" w:type="dxa"/>
              <w:right w:w="80" w:type="dxa"/>
            </w:tcMar>
          </w:tcPr>
          <w:p>
            <w:pPr>
              <w:spacing w:after="40" w:before="40" w:line="252" w:lineRule="auto"/>
              <w:jc w:val="left"/>
            </w:pPr>
            <w:r>
              <w:rPr>
                <w:b/>
                <w:color w:val="FFFFFF"/>
                <w:sz w:val="18"/>
              </w:rPr>
              <w:t>Model</w:t>
            </w:r>
          </w:p>
        </w:tc>
        <w:tc>
          <w:tcPr>
            <w:tcW w:type="dxa" w:w="1728"/>
            <w:vAlign w:val="center"/>
            <w:shd w:fill="183B4A"/>
            <w:tcMar>
              <w:top w:w="80" w:type="dxa"/>
              <w:bottom w:w="80" w:type="dxa"/>
              <w:left w:w="80" w:type="dxa"/>
              <w:right w:w="80" w:type="dxa"/>
            </w:tcMar>
          </w:tcPr>
          <w:p>
            <w:pPr>
              <w:spacing w:after="40" w:before="40" w:line="252" w:lineRule="auto"/>
              <w:jc w:val="center"/>
            </w:pPr>
            <w:r>
              <w:rPr>
                <w:b/>
                <w:color w:val="FFFFFF"/>
                <w:sz w:val="18"/>
              </w:rPr>
              <w:t>F1 at 0.5</w:t>
            </w:r>
          </w:p>
        </w:tc>
        <w:tc>
          <w:tcPr>
            <w:tcW w:type="dxa" w:w="2880"/>
            <w:vAlign w:val="center"/>
            <w:shd w:fill="183B4A"/>
            <w:tcMar>
              <w:top w:w="80" w:type="dxa"/>
              <w:bottom w:w="80" w:type="dxa"/>
              <w:left w:w="80" w:type="dxa"/>
              <w:right w:w="80" w:type="dxa"/>
            </w:tcMar>
          </w:tcPr>
          <w:p>
            <w:pPr>
              <w:spacing w:after="40" w:before="40" w:line="252" w:lineRule="auto"/>
              <w:jc w:val="center"/>
            </w:pPr>
            <w:r>
              <w:rPr>
                <w:b/>
                <w:color w:val="FFFFFF"/>
                <w:sz w:val="18"/>
              </w:rPr>
              <w:t>F1 at validation threshold</w:t>
            </w:r>
          </w:p>
        </w:tc>
        <w:tc>
          <w:tcPr>
            <w:tcW w:type="dxa" w:w="2376"/>
            <w:vAlign w:val="center"/>
            <w:shd w:fill="183B4A"/>
            <w:tcMar>
              <w:top w:w="80" w:type="dxa"/>
              <w:bottom w:w="80" w:type="dxa"/>
              <w:left w:w="80" w:type="dxa"/>
              <w:right w:w="80" w:type="dxa"/>
            </w:tcMar>
          </w:tcPr>
          <w:p>
            <w:pPr>
              <w:spacing w:after="40" w:before="40" w:line="252" w:lineRule="auto"/>
              <w:jc w:val="center"/>
            </w:pPr>
            <w:r>
              <w:rPr>
                <w:b/>
                <w:color w:val="FFFFFF"/>
                <w:sz w:val="18"/>
              </w:rPr>
              <w:t>Chosen threshold</w:t>
            </w:r>
          </w:p>
        </w:tc>
      </w:tr>
      <w:tr>
        <w:trPr>
          <w:cantSplit/>
        </w:trPr>
        <w:tc>
          <w:tcPr>
            <w:tcW w:type="dxa" w:w="2592"/>
            <w:vAlign w:val="center"/>
            <w:shd w:fill="FFFFFF"/>
            <w:tcMar>
              <w:top w:w="80" w:type="dxa"/>
              <w:bottom w:w="80" w:type="dxa"/>
              <w:left w:w="80" w:type="dxa"/>
              <w:right w:w="80" w:type="dxa"/>
            </w:tcMar>
          </w:tcPr>
          <w:p>
            <w:pPr>
              <w:spacing w:after="40" w:before="40" w:line="252" w:lineRule="auto"/>
              <w:jc w:val="left"/>
            </w:pPr>
            <w:r>
              <w:rPr>
                <w:b w:val="0"/>
                <w:color w:val="000000"/>
                <w:sz w:val="18"/>
              </w:rPr>
              <w:t>Logistic Regression</w:t>
            </w:r>
          </w:p>
        </w:tc>
        <w:tc>
          <w:tcPr>
            <w:tcW w:type="dxa" w:w="1728"/>
            <w:vAlign w:val="center"/>
            <w:shd w:fill="FFFFFF"/>
            <w:tcMar>
              <w:top w:w="80" w:type="dxa"/>
              <w:bottom w:w="80" w:type="dxa"/>
              <w:left w:w="80" w:type="dxa"/>
              <w:right w:w="80" w:type="dxa"/>
            </w:tcMar>
          </w:tcPr>
          <w:p>
            <w:pPr>
              <w:spacing w:after="40" w:before="40" w:line="252" w:lineRule="auto"/>
              <w:jc w:val="center"/>
            </w:pPr>
            <w:r>
              <w:rPr>
                <w:b w:val="0"/>
                <w:color w:val="000000"/>
                <w:sz w:val="18"/>
              </w:rPr>
              <w:t>0.6724</w:t>
            </w:r>
          </w:p>
        </w:tc>
        <w:tc>
          <w:tcPr>
            <w:tcW w:type="dxa" w:w="2880"/>
            <w:vAlign w:val="center"/>
            <w:shd w:fill="FFFFFF"/>
            <w:tcMar>
              <w:top w:w="80" w:type="dxa"/>
              <w:bottom w:w="80" w:type="dxa"/>
              <w:left w:w="80" w:type="dxa"/>
              <w:right w:w="80" w:type="dxa"/>
            </w:tcMar>
          </w:tcPr>
          <w:p>
            <w:pPr>
              <w:spacing w:after="40" w:before="40" w:line="252" w:lineRule="auto"/>
              <w:jc w:val="center"/>
            </w:pPr>
            <w:r>
              <w:rPr>
                <w:b w:val="0"/>
                <w:color w:val="000000"/>
                <w:sz w:val="18"/>
              </w:rPr>
              <w:t>0.7327</w:t>
            </w:r>
          </w:p>
        </w:tc>
        <w:tc>
          <w:tcPr>
            <w:tcW w:type="dxa" w:w="2376"/>
            <w:vAlign w:val="center"/>
            <w:shd w:fill="FFFFFF"/>
            <w:tcMar>
              <w:top w:w="80" w:type="dxa"/>
              <w:bottom w:w="80" w:type="dxa"/>
              <w:left w:w="80" w:type="dxa"/>
              <w:right w:w="80" w:type="dxa"/>
            </w:tcMar>
          </w:tcPr>
          <w:p>
            <w:pPr>
              <w:spacing w:after="40" w:before="40" w:line="252" w:lineRule="auto"/>
              <w:jc w:val="center"/>
            </w:pPr>
            <w:r>
              <w:rPr>
                <w:b w:val="0"/>
                <w:color w:val="000000"/>
                <w:sz w:val="18"/>
              </w:rPr>
              <w:t>0.7618</w:t>
            </w:r>
          </w:p>
        </w:tc>
      </w:tr>
      <w:tr>
        <w:trPr>
          <w:cantSplit/>
        </w:trPr>
        <w:tc>
          <w:tcPr>
            <w:tcW w:type="dxa" w:w="2592"/>
            <w:vAlign w:val="center"/>
            <w:shd w:fill="F1F5F6"/>
            <w:tcMar>
              <w:top w:w="80" w:type="dxa"/>
              <w:bottom w:w="80" w:type="dxa"/>
              <w:left w:w="80" w:type="dxa"/>
              <w:right w:w="80" w:type="dxa"/>
            </w:tcMar>
          </w:tcPr>
          <w:p>
            <w:pPr>
              <w:spacing w:after="40" w:before="40" w:line="252" w:lineRule="auto"/>
              <w:jc w:val="left"/>
            </w:pPr>
            <w:r>
              <w:rPr>
                <w:b w:val="0"/>
                <w:color w:val="000000"/>
                <w:sz w:val="18"/>
              </w:rPr>
              <w:t>Random Forest</w:t>
            </w:r>
          </w:p>
        </w:tc>
        <w:tc>
          <w:tcPr>
            <w:tcW w:type="dxa" w:w="1728"/>
            <w:vAlign w:val="center"/>
            <w:shd w:fill="F1F5F6"/>
            <w:tcMar>
              <w:top w:w="80" w:type="dxa"/>
              <w:bottom w:w="80" w:type="dxa"/>
              <w:left w:w="80" w:type="dxa"/>
              <w:right w:w="80" w:type="dxa"/>
            </w:tcMar>
          </w:tcPr>
          <w:p>
            <w:pPr>
              <w:spacing w:after="40" w:before="40" w:line="252" w:lineRule="auto"/>
              <w:jc w:val="center"/>
            </w:pPr>
            <w:r>
              <w:rPr>
                <w:b w:val="0"/>
                <w:color w:val="000000"/>
                <w:sz w:val="18"/>
              </w:rPr>
              <w:t>0.9873</w:t>
            </w:r>
          </w:p>
        </w:tc>
        <w:tc>
          <w:tcPr>
            <w:tcW w:type="dxa" w:w="2880"/>
            <w:vAlign w:val="center"/>
            <w:shd w:fill="F1F5F6"/>
            <w:tcMar>
              <w:top w:w="80" w:type="dxa"/>
              <w:bottom w:w="80" w:type="dxa"/>
              <w:left w:w="80" w:type="dxa"/>
              <w:right w:w="80" w:type="dxa"/>
            </w:tcMar>
          </w:tcPr>
          <w:p>
            <w:pPr>
              <w:spacing w:after="40" w:before="40" w:line="252" w:lineRule="auto"/>
              <w:jc w:val="center"/>
            </w:pPr>
            <w:r>
              <w:rPr>
                <w:b w:val="0"/>
                <w:color w:val="000000"/>
                <w:sz w:val="18"/>
              </w:rPr>
              <w:t>0.9873</w:t>
            </w:r>
          </w:p>
        </w:tc>
        <w:tc>
          <w:tcPr>
            <w:tcW w:type="dxa" w:w="2376"/>
            <w:vAlign w:val="center"/>
            <w:shd w:fill="F1F5F6"/>
            <w:tcMar>
              <w:top w:w="80" w:type="dxa"/>
              <w:bottom w:w="80" w:type="dxa"/>
              <w:left w:w="80" w:type="dxa"/>
              <w:right w:w="80" w:type="dxa"/>
            </w:tcMar>
          </w:tcPr>
          <w:p>
            <w:pPr>
              <w:spacing w:after="40" w:before="40" w:line="252" w:lineRule="auto"/>
              <w:jc w:val="center"/>
            </w:pPr>
            <w:r>
              <w:rPr>
                <w:b w:val="0"/>
                <w:color w:val="000000"/>
                <w:sz w:val="18"/>
              </w:rPr>
              <w:t>0.4167</w:t>
            </w:r>
          </w:p>
        </w:tc>
      </w:tr>
      <w:tr>
        <w:trPr>
          <w:cantSplit/>
        </w:trPr>
        <w:tc>
          <w:tcPr>
            <w:tcW w:type="dxa" w:w="2592"/>
            <w:vAlign w:val="center"/>
            <w:shd w:fill="FFFFFF"/>
            <w:tcMar>
              <w:top w:w="80" w:type="dxa"/>
              <w:bottom w:w="80" w:type="dxa"/>
              <w:left w:w="80" w:type="dxa"/>
              <w:right w:w="80" w:type="dxa"/>
            </w:tcMar>
          </w:tcPr>
          <w:p>
            <w:pPr>
              <w:spacing w:after="40" w:before="40" w:line="252" w:lineRule="auto"/>
              <w:jc w:val="left"/>
            </w:pPr>
            <w:r>
              <w:rPr>
                <w:b w:val="0"/>
                <w:color w:val="000000"/>
                <w:sz w:val="18"/>
              </w:rPr>
              <w:t>XGBoost</w:t>
            </w:r>
          </w:p>
        </w:tc>
        <w:tc>
          <w:tcPr>
            <w:tcW w:type="dxa" w:w="1728"/>
            <w:vAlign w:val="center"/>
            <w:shd w:fill="FFFFFF"/>
            <w:tcMar>
              <w:top w:w="80" w:type="dxa"/>
              <w:bottom w:w="80" w:type="dxa"/>
              <w:left w:w="80" w:type="dxa"/>
              <w:right w:w="80" w:type="dxa"/>
            </w:tcMar>
          </w:tcPr>
          <w:p>
            <w:pPr>
              <w:spacing w:after="40" w:before="40" w:line="252" w:lineRule="auto"/>
              <w:jc w:val="center"/>
            </w:pPr>
            <w:r>
              <w:rPr>
                <w:b w:val="0"/>
                <w:color w:val="000000"/>
                <w:sz w:val="18"/>
              </w:rPr>
              <w:t>0.9877</w:t>
            </w:r>
          </w:p>
        </w:tc>
        <w:tc>
          <w:tcPr>
            <w:tcW w:type="dxa" w:w="2880"/>
            <w:vAlign w:val="center"/>
            <w:shd w:fill="FFFFFF"/>
            <w:tcMar>
              <w:top w:w="80" w:type="dxa"/>
              <w:bottom w:w="80" w:type="dxa"/>
              <w:left w:w="80" w:type="dxa"/>
              <w:right w:w="80" w:type="dxa"/>
            </w:tcMar>
          </w:tcPr>
          <w:p>
            <w:pPr>
              <w:spacing w:after="40" w:before="40" w:line="252" w:lineRule="auto"/>
              <w:jc w:val="center"/>
            </w:pPr>
            <w:r>
              <w:rPr>
                <w:b w:val="0"/>
                <w:color w:val="000000"/>
                <w:sz w:val="18"/>
              </w:rPr>
              <w:t>0.9877</w:t>
            </w:r>
          </w:p>
        </w:tc>
        <w:tc>
          <w:tcPr>
            <w:tcW w:type="dxa" w:w="2376"/>
            <w:vAlign w:val="center"/>
            <w:shd w:fill="FFFFFF"/>
            <w:tcMar>
              <w:top w:w="80" w:type="dxa"/>
              <w:bottom w:w="80" w:type="dxa"/>
              <w:left w:w="80" w:type="dxa"/>
              <w:right w:w="80" w:type="dxa"/>
            </w:tcMar>
          </w:tcPr>
          <w:p>
            <w:pPr>
              <w:spacing w:after="40" w:before="40" w:line="252" w:lineRule="auto"/>
              <w:jc w:val="center"/>
            </w:pPr>
            <w:r>
              <w:rPr>
                <w:b w:val="0"/>
                <w:color w:val="000000"/>
                <w:sz w:val="18"/>
              </w:rPr>
              <w:t>0.2121</w:t>
            </w:r>
          </w:p>
        </w:tc>
      </w:tr>
      <w:tr>
        <w:trPr>
          <w:cantSplit/>
        </w:trPr>
        <w:tc>
          <w:tcPr>
            <w:tcW w:type="dxa" w:w="2592"/>
            <w:vAlign w:val="center"/>
            <w:shd w:fill="F1F5F6"/>
            <w:tcMar>
              <w:top w:w="80" w:type="dxa"/>
              <w:bottom w:w="80" w:type="dxa"/>
              <w:left w:w="80" w:type="dxa"/>
              <w:right w:w="80" w:type="dxa"/>
            </w:tcMar>
          </w:tcPr>
          <w:p>
            <w:pPr>
              <w:spacing w:after="40" w:before="40" w:line="252" w:lineRule="auto"/>
              <w:jc w:val="left"/>
            </w:pPr>
            <w:r>
              <w:rPr>
                <w:b w:val="0"/>
                <w:color w:val="000000"/>
                <w:sz w:val="18"/>
              </w:rPr>
              <w:t>SVM</w:t>
            </w:r>
          </w:p>
        </w:tc>
        <w:tc>
          <w:tcPr>
            <w:tcW w:type="dxa" w:w="1728"/>
            <w:vAlign w:val="center"/>
            <w:shd w:fill="F1F5F6"/>
            <w:tcMar>
              <w:top w:w="80" w:type="dxa"/>
              <w:bottom w:w="80" w:type="dxa"/>
              <w:left w:w="80" w:type="dxa"/>
              <w:right w:w="80" w:type="dxa"/>
            </w:tcMar>
          </w:tcPr>
          <w:p>
            <w:pPr>
              <w:spacing w:after="40" w:before="40" w:line="252" w:lineRule="auto"/>
              <w:jc w:val="center"/>
            </w:pPr>
            <w:r>
              <w:rPr>
                <w:b w:val="0"/>
                <w:color w:val="000000"/>
                <w:sz w:val="18"/>
              </w:rPr>
              <w:t>0.7400</w:t>
            </w:r>
          </w:p>
        </w:tc>
        <w:tc>
          <w:tcPr>
            <w:tcW w:type="dxa" w:w="2880"/>
            <w:vAlign w:val="center"/>
            <w:shd w:fill="F1F5F6"/>
            <w:tcMar>
              <w:top w:w="80" w:type="dxa"/>
              <w:bottom w:w="80" w:type="dxa"/>
              <w:left w:w="80" w:type="dxa"/>
              <w:right w:w="80" w:type="dxa"/>
            </w:tcMar>
          </w:tcPr>
          <w:p>
            <w:pPr>
              <w:spacing w:after="40" w:before="40" w:line="252" w:lineRule="auto"/>
              <w:jc w:val="center"/>
            </w:pPr>
            <w:r>
              <w:rPr>
                <w:b w:val="0"/>
                <w:color w:val="000000"/>
                <w:sz w:val="18"/>
              </w:rPr>
              <w:t>0.7711</w:t>
            </w:r>
          </w:p>
        </w:tc>
        <w:tc>
          <w:tcPr>
            <w:tcW w:type="dxa" w:w="2376"/>
            <w:vAlign w:val="center"/>
            <w:shd w:fill="F1F5F6"/>
            <w:tcMar>
              <w:top w:w="80" w:type="dxa"/>
              <w:bottom w:w="80" w:type="dxa"/>
              <w:left w:w="80" w:type="dxa"/>
              <w:right w:w="80" w:type="dxa"/>
            </w:tcMar>
          </w:tcPr>
          <w:p>
            <w:pPr>
              <w:spacing w:after="40" w:before="40" w:line="252" w:lineRule="auto"/>
              <w:jc w:val="center"/>
            </w:pPr>
            <w:r>
              <w:rPr>
                <w:b w:val="0"/>
                <w:color w:val="000000"/>
                <w:sz w:val="18"/>
              </w:rPr>
              <w:t>0.5859</w:t>
            </w:r>
          </w:p>
        </w:tc>
      </w:tr>
      <w:tr>
        <w:trPr>
          <w:cantSplit/>
        </w:trPr>
        <w:tc>
          <w:tcPr>
            <w:tcW w:type="dxa" w:w="2592"/>
            <w:vAlign w:val="center"/>
            <w:shd w:fill="FFFFFF"/>
            <w:tcMar>
              <w:top w:w="80" w:type="dxa"/>
              <w:bottom w:w="80" w:type="dxa"/>
              <w:left w:w="80" w:type="dxa"/>
              <w:right w:w="80" w:type="dxa"/>
            </w:tcMar>
          </w:tcPr>
          <w:p>
            <w:pPr>
              <w:spacing w:after="40" w:before="40" w:line="252" w:lineRule="auto"/>
              <w:jc w:val="left"/>
            </w:pPr>
            <w:r>
              <w:rPr>
                <w:b w:val="0"/>
                <w:color w:val="000000"/>
                <w:sz w:val="18"/>
              </w:rPr>
              <w:t>Histogram GB</w:t>
            </w:r>
          </w:p>
        </w:tc>
        <w:tc>
          <w:tcPr>
            <w:tcW w:type="dxa" w:w="1728"/>
            <w:vAlign w:val="center"/>
            <w:shd w:fill="FFFFFF"/>
            <w:tcMar>
              <w:top w:w="80" w:type="dxa"/>
              <w:bottom w:w="80" w:type="dxa"/>
              <w:left w:w="80" w:type="dxa"/>
              <w:right w:w="80" w:type="dxa"/>
            </w:tcMar>
          </w:tcPr>
          <w:p>
            <w:pPr>
              <w:spacing w:after="40" w:before="40" w:line="252" w:lineRule="auto"/>
              <w:jc w:val="center"/>
            </w:pPr>
            <w:r>
              <w:rPr>
                <w:b w:val="0"/>
                <w:color w:val="000000"/>
                <w:sz w:val="18"/>
              </w:rPr>
              <w:t>0.9873</w:t>
            </w:r>
          </w:p>
        </w:tc>
        <w:tc>
          <w:tcPr>
            <w:tcW w:type="dxa" w:w="2880"/>
            <w:vAlign w:val="center"/>
            <w:shd w:fill="FFFFFF"/>
            <w:tcMar>
              <w:top w:w="80" w:type="dxa"/>
              <w:bottom w:w="80" w:type="dxa"/>
              <w:left w:w="80" w:type="dxa"/>
              <w:right w:w="80" w:type="dxa"/>
            </w:tcMar>
          </w:tcPr>
          <w:p>
            <w:pPr>
              <w:spacing w:after="40" w:before="40" w:line="252" w:lineRule="auto"/>
              <w:jc w:val="center"/>
            </w:pPr>
            <w:r>
              <w:rPr>
                <w:b w:val="0"/>
                <w:color w:val="000000"/>
                <w:sz w:val="18"/>
              </w:rPr>
              <w:t>0.9873</w:t>
            </w:r>
          </w:p>
        </w:tc>
        <w:tc>
          <w:tcPr>
            <w:tcW w:type="dxa" w:w="2376"/>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r>
      <w:tr>
        <w:trPr>
          <w:cantSplit/>
        </w:trPr>
        <w:tc>
          <w:tcPr>
            <w:tcW w:type="dxa" w:w="2592"/>
            <w:vAlign w:val="center"/>
            <w:shd w:fill="F1F5F6"/>
            <w:tcMar>
              <w:top w:w="80" w:type="dxa"/>
              <w:bottom w:w="80" w:type="dxa"/>
              <w:left w:w="80" w:type="dxa"/>
              <w:right w:w="80" w:type="dxa"/>
            </w:tcMar>
          </w:tcPr>
          <w:p>
            <w:pPr>
              <w:spacing w:after="40" w:before="40" w:line="252" w:lineRule="auto"/>
              <w:jc w:val="left"/>
            </w:pPr>
            <w:r>
              <w:rPr>
                <w:b w:val="0"/>
                <w:color w:val="000000"/>
                <w:sz w:val="18"/>
              </w:rPr>
              <w:t>MLP</w:t>
            </w:r>
          </w:p>
        </w:tc>
        <w:tc>
          <w:tcPr>
            <w:tcW w:type="dxa" w:w="1728"/>
            <w:vAlign w:val="center"/>
            <w:shd w:fill="F1F5F6"/>
            <w:tcMar>
              <w:top w:w="80" w:type="dxa"/>
              <w:bottom w:w="80" w:type="dxa"/>
              <w:left w:w="80" w:type="dxa"/>
              <w:right w:w="80" w:type="dxa"/>
            </w:tcMar>
          </w:tcPr>
          <w:p>
            <w:pPr>
              <w:spacing w:after="40" w:before="40" w:line="252" w:lineRule="auto"/>
              <w:jc w:val="center"/>
            </w:pPr>
            <w:r>
              <w:rPr>
                <w:b w:val="0"/>
                <w:color w:val="000000"/>
                <w:sz w:val="18"/>
              </w:rPr>
              <w:t>0.7048</w:t>
            </w:r>
          </w:p>
        </w:tc>
        <w:tc>
          <w:tcPr>
            <w:tcW w:type="dxa" w:w="2880"/>
            <w:vAlign w:val="center"/>
            <w:shd w:fill="F1F5F6"/>
            <w:tcMar>
              <w:top w:w="80" w:type="dxa"/>
              <w:bottom w:w="80" w:type="dxa"/>
              <w:left w:w="80" w:type="dxa"/>
              <w:right w:w="80" w:type="dxa"/>
            </w:tcMar>
          </w:tcPr>
          <w:p>
            <w:pPr>
              <w:spacing w:after="40" w:before="40" w:line="252" w:lineRule="auto"/>
              <w:jc w:val="center"/>
            </w:pPr>
            <w:r>
              <w:rPr>
                <w:b w:val="0"/>
                <w:color w:val="000000"/>
                <w:sz w:val="18"/>
              </w:rPr>
              <w:t>0.8222</w:t>
            </w:r>
          </w:p>
        </w:tc>
        <w:tc>
          <w:tcPr>
            <w:tcW w:type="dxa" w:w="2376"/>
            <w:vAlign w:val="center"/>
            <w:shd w:fill="F1F5F6"/>
            <w:tcMar>
              <w:top w:w="80" w:type="dxa"/>
              <w:bottom w:w="80" w:type="dxa"/>
              <w:left w:w="80" w:type="dxa"/>
              <w:right w:w="80" w:type="dxa"/>
            </w:tcMar>
          </w:tcPr>
          <w:p>
            <w:pPr>
              <w:spacing w:after="40" w:before="40" w:line="252" w:lineRule="auto"/>
              <w:jc w:val="center"/>
            </w:pPr>
            <w:r>
              <w:rPr>
                <w:b w:val="0"/>
                <w:color w:val="000000"/>
                <w:sz w:val="18"/>
              </w:rPr>
              <w:t>0.8359</w:t>
            </w:r>
          </w:p>
        </w:tc>
      </w:tr>
      <w:tr>
        <w:trPr>
          <w:cantSplit/>
        </w:trPr>
        <w:tc>
          <w:tcPr>
            <w:tcW w:type="dxa" w:w="2592"/>
            <w:vAlign w:val="center"/>
            <w:shd w:fill="FFFFFF"/>
            <w:tcMar>
              <w:top w:w="80" w:type="dxa"/>
              <w:bottom w:w="80" w:type="dxa"/>
              <w:left w:w="80" w:type="dxa"/>
              <w:right w:w="80" w:type="dxa"/>
            </w:tcMar>
          </w:tcPr>
          <w:p>
            <w:pPr>
              <w:spacing w:after="40" w:before="40" w:line="252" w:lineRule="auto"/>
              <w:jc w:val="left"/>
            </w:pPr>
            <w:r>
              <w:rPr>
                <w:b w:val="0"/>
                <w:color w:val="000000"/>
                <w:sz w:val="18"/>
              </w:rPr>
              <w:t>Residual MLP</w:t>
            </w:r>
          </w:p>
        </w:tc>
        <w:tc>
          <w:tcPr>
            <w:tcW w:type="dxa" w:w="1728"/>
            <w:vAlign w:val="center"/>
            <w:shd w:fill="FFFFFF"/>
            <w:tcMar>
              <w:top w:w="80" w:type="dxa"/>
              <w:bottom w:w="80" w:type="dxa"/>
              <w:left w:w="80" w:type="dxa"/>
              <w:right w:w="80" w:type="dxa"/>
            </w:tcMar>
          </w:tcPr>
          <w:p>
            <w:pPr>
              <w:spacing w:after="40" w:before="40" w:line="252" w:lineRule="auto"/>
              <w:jc w:val="center"/>
            </w:pPr>
            <w:r>
              <w:rPr>
                <w:b w:val="0"/>
                <w:color w:val="000000"/>
                <w:sz w:val="18"/>
              </w:rPr>
              <w:t>0.8046</w:t>
            </w:r>
          </w:p>
        </w:tc>
        <w:tc>
          <w:tcPr>
            <w:tcW w:type="dxa" w:w="2880"/>
            <w:vAlign w:val="center"/>
            <w:shd w:fill="FFFFFF"/>
            <w:tcMar>
              <w:top w:w="80" w:type="dxa"/>
              <w:bottom w:w="80" w:type="dxa"/>
              <w:left w:w="80" w:type="dxa"/>
              <w:right w:w="80" w:type="dxa"/>
            </w:tcMar>
          </w:tcPr>
          <w:p>
            <w:pPr>
              <w:spacing w:after="40" w:before="40" w:line="252" w:lineRule="auto"/>
              <w:jc w:val="center"/>
            </w:pPr>
            <w:r>
              <w:rPr>
                <w:b w:val="0"/>
                <w:color w:val="000000"/>
                <w:sz w:val="18"/>
              </w:rPr>
              <w:t>0.8315</w:t>
            </w:r>
          </w:p>
        </w:tc>
        <w:tc>
          <w:tcPr>
            <w:tcW w:type="dxa" w:w="2376"/>
            <w:vAlign w:val="center"/>
            <w:shd w:fill="FFFFFF"/>
            <w:tcMar>
              <w:top w:w="80" w:type="dxa"/>
              <w:bottom w:w="80" w:type="dxa"/>
              <w:left w:w="80" w:type="dxa"/>
              <w:right w:w="80" w:type="dxa"/>
            </w:tcMar>
          </w:tcPr>
          <w:p>
            <w:pPr>
              <w:spacing w:after="40" w:before="40" w:line="252" w:lineRule="auto"/>
              <w:jc w:val="center"/>
            </w:pPr>
            <w:r>
              <w:rPr>
                <w:b w:val="0"/>
                <w:color w:val="000000"/>
                <w:sz w:val="18"/>
              </w:rPr>
              <w:t>0.2751</w:t>
            </w:r>
          </w:p>
        </w:tc>
      </w:tr>
      <w:tr>
        <w:trPr>
          <w:cantSplit/>
        </w:trPr>
        <w:tc>
          <w:tcPr>
            <w:tcW w:type="dxa" w:w="2592"/>
            <w:vAlign w:val="center"/>
            <w:shd w:fill="F1F5F6"/>
            <w:tcMar>
              <w:top w:w="80" w:type="dxa"/>
              <w:bottom w:w="80" w:type="dxa"/>
              <w:left w:w="80" w:type="dxa"/>
              <w:right w:w="80" w:type="dxa"/>
            </w:tcMar>
          </w:tcPr>
          <w:p>
            <w:pPr>
              <w:spacing w:after="40" w:before="40" w:line="252" w:lineRule="auto"/>
              <w:jc w:val="left"/>
            </w:pPr>
            <w:r>
              <w:rPr>
                <w:b w:val="0"/>
                <w:color w:val="000000"/>
                <w:sz w:val="18"/>
              </w:rPr>
              <w:t>1D CNN</w:t>
            </w:r>
          </w:p>
        </w:tc>
        <w:tc>
          <w:tcPr>
            <w:tcW w:type="dxa" w:w="1728"/>
            <w:vAlign w:val="center"/>
            <w:shd w:fill="F1F5F6"/>
            <w:tcMar>
              <w:top w:w="80" w:type="dxa"/>
              <w:bottom w:w="80" w:type="dxa"/>
              <w:left w:w="80" w:type="dxa"/>
              <w:right w:w="80" w:type="dxa"/>
            </w:tcMar>
          </w:tcPr>
          <w:p>
            <w:pPr>
              <w:spacing w:after="40" w:before="40" w:line="252" w:lineRule="auto"/>
              <w:jc w:val="center"/>
            </w:pPr>
            <w:r>
              <w:rPr>
                <w:b w:val="0"/>
                <w:color w:val="000000"/>
                <w:sz w:val="18"/>
              </w:rPr>
              <w:t>0.8125</w:t>
            </w:r>
          </w:p>
        </w:tc>
        <w:tc>
          <w:tcPr>
            <w:tcW w:type="dxa" w:w="2880"/>
            <w:vAlign w:val="center"/>
            <w:shd w:fill="F1F5F6"/>
            <w:tcMar>
              <w:top w:w="80" w:type="dxa"/>
              <w:bottom w:w="80" w:type="dxa"/>
              <w:left w:w="80" w:type="dxa"/>
              <w:right w:w="80" w:type="dxa"/>
            </w:tcMar>
          </w:tcPr>
          <w:p>
            <w:pPr>
              <w:spacing w:after="40" w:before="40" w:line="252" w:lineRule="auto"/>
              <w:jc w:val="center"/>
            </w:pPr>
            <w:r>
              <w:rPr>
                <w:b w:val="0"/>
                <w:color w:val="000000"/>
                <w:sz w:val="18"/>
              </w:rPr>
              <w:t>0.8767</w:t>
            </w:r>
          </w:p>
        </w:tc>
        <w:tc>
          <w:tcPr>
            <w:tcW w:type="dxa" w:w="2376"/>
            <w:vAlign w:val="center"/>
            <w:shd w:fill="F1F5F6"/>
            <w:tcMar>
              <w:top w:w="80" w:type="dxa"/>
              <w:bottom w:w="80" w:type="dxa"/>
              <w:left w:w="80" w:type="dxa"/>
              <w:right w:w="80" w:type="dxa"/>
            </w:tcMar>
          </w:tcPr>
          <w:p>
            <w:pPr>
              <w:spacing w:after="40" w:before="40" w:line="252" w:lineRule="auto"/>
              <w:jc w:val="center"/>
            </w:pPr>
            <w:r>
              <w:rPr>
                <w:b w:val="0"/>
                <w:color w:val="000000"/>
                <w:sz w:val="18"/>
              </w:rPr>
              <w:t>0.9691</w:t>
            </w:r>
          </w:p>
        </w:tc>
      </w:tr>
    </w:tbl>
    <w:p>
      <w:pPr>
        <w:widowControl/>
        <w:spacing w:after="0"/>
      </w:pPr>
    </w:p>
    <w:p>
      <w:pPr>
        <w:widowControl/>
      </w:pPr>
      <w:r>
        <w:t>Validation-based threshold selection can improve an operating point, but the gain need not transfer to the test partition. The table shows both policies without selecting between them from test outcomes. Because validation contains only 41 fraud cases, a threshold can be sensitive to individual observations. A separate calibration or policy-tuning cohort would provide a stronger basis for production decisions.</w:t>
      </w:r>
    </w:p>
    <w:p>
      <w:r>
        <w:drawing>
          <wp:inline xmlns:a="http://schemas.openxmlformats.org/drawingml/2006/main" xmlns:pic="http://schemas.openxmlformats.org/drawingml/2006/picture">
            <wp:extent cx="4206240" cy="3364992"/>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206240" cy="3364992"/>
                    </a:xfrm>
                    <a:prstGeom prst="rect"/>
                  </pic:spPr>
                </pic:pic>
              </a:graphicData>
            </a:graphic>
          </wp:inline>
        </w:drawing>
      </w:r>
    </w:p>
    <w:p>
      <w:pPr>
        <w:widowControl/>
        <w:spacing w:after="160"/>
      </w:pPr>
      <w:r>
        <w:rPr>
          <w:i/>
          <w:sz w:val="18"/>
        </w:rPr>
        <w:t>Figure 3  Default demonstration model at its frozen validation-selected threshold.</w:t>
      </w:r>
    </w:p>
    <w:p>
      <w:pPr>
        <w:pStyle w:val="Heading2"/>
      </w:pPr>
      <w:r>
        <w:t>8 1 Score interpretation</w:t>
      </w:r>
    </w:p>
    <w:p>
      <w:pPr>
        <w:widowControl/>
      </w:pPr>
      <w:r>
        <w:t>All outputs are uncalibrated model scores. Class weighting changes the training objective, and the SVM score is a transformed margin. Thus a score of 0.80 does not establish an 80% probability of fraud. The website displays this distinction next to the result. Scores from different algorithms should not be averaged as if they shared a probability scale.</w:t>
      </w:r>
    </w:p>
    <w:p>
      <w:pPr>
        <w:pStyle w:val="Heading1"/>
        <w:pageBreakBefore/>
      </w:pPr>
      <w:r>
        <w:t>9 Feature sensitivity and error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440"/>
        <w:gridCol w:w="1440"/>
        <w:gridCol w:w="1440"/>
        <w:gridCol w:w="1512"/>
      </w:tblGrid>
      <w:tr>
        <w:trPr>
          <w:tblHeader/>
          <w:cantSplit/>
        </w:trPr>
        <w:tc>
          <w:tcPr>
            <w:tcW w:type="dxa" w:w="2376"/>
            <w:vAlign w:val="center"/>
            <w:shd w:fill="183B4A"/>
            <w:tcMar>
              <w:top w:w="80" w:type="dxa"/>
              <w:bottom w:w="80" w:type="dxa"/>
              <w:left w:w="80" w:type="dxa"/>
              <w:right w:w="80" w:type="dxa"/>
            </w:tcMar>
          </w:tcPr>
          <w:p>
            <w:pPr>
              <w:spacing w:after="40" w:before="40" w:line="252" w:lineRule="auto"/>
              <w:jc w:val="left"/>
            </w:pPr>
            <w:r>
              <w:rPr>
                <w:b/>
                <w:color w:val="FFFFFF"/>
                <w:sz w:val="18"/>
              </w:rPr>
              <w:t>Model</w:t>
            </w:r>
          </w:p>
        </w:tc>
        <w:tc>
          <w:tcPr>
            <w:tcW w:type="dxa" w:w="1440"/>
            <w:vAlign w:val="center"/>
            <w:shd w:fill="183B4A"/>
            <w:tcMar>
              <w:top w:w="80" w:type="dxa"/>
              <w:bottom w:w="80" w:type="dxa"/>
              <w:left w:w="80" w:type="dxa"/>
              <w:right w:w="80" w:type="dxa"/>
            </w:tcMar>
          </w:tcPr>
          <w:p>
            <w:pPr>
              <w:spacing w:after="40" w:before="40" w:line="252" w:lineRule="auto"/>
              <w:jc w:val="center"/>
            </w:pPr>
            <w:r>
              <w:rPr>
                <w:b/>
                <w:color w:val="FFFFFF"/>
                <w:sz w:val="18"/>
              </w:rPr>
              <w:t>Original AP</w:t>
            </w:r>
          </w:p>
        </w:tc>
        <w:tc>
          <w:tcPr>
            <w:tcW w:type="dxa" w:w="1440"/>
            <w:vAlign w:val="center"/>
            <w:shd w:fill="183B4A"/>
            <w:tcMar>
              <w:top w:w="80" w:type="dxa"/>
              <w:bottom w:w="80" w:type="dxa"/>
              <w:left w:w="80" w:type="dxa"/>
              <w:right w:w="80" w:type="dxa"/>
            </w:tcMar>
          </w:tcPr>
          <w:p>
            <w:pPr>
              <w:spacing w:after="40" w:before="40" w:line="252" w:lineRule="auto"/>
              <w:jc w:val="center"/>
            </w:pPr>
            <w:r>
              <w:rPr>
                <w:b/>
                <w:color w:val="FFFFFF"/>
                <w:sz w:val="18"/>
              </w:rPr>
              <w:t>Intake AP</w:t>
            </w:r>
          </w:p>
        </w:tc>
        <w:tc>
          <w:tcPr>
            <w:tcW w:type="dxa" w:w="1440"/>
            <w:vAlign w:val="center"/>
            <w:shd w:fill="183B4A"/>
            <w:tcMar>
              <w:top w:w="80" w:type="dxa"/>
              <w:bottom w:w="80" w:type="dxa"/>
              <w:left w:w="80" w:type="dxa"/>
              <w:right w:w="80" w:type="dxa"/>
            </w:tcMar>
          </w:tcPr>
          <w:p>
            <w:pPr>
              <w:spacing w:after="40" w:before="40" w:line="252" w:lineRule="auto"/>
              <w:jc w:val="center"/>
            </w:pPr>
            <w:r>
              <w:rPr>
                <w:b/>
                <w:color w:val="FFFFFF"/>
                <w:sz w:val="18"/>
              </w:rPr>
              <w:t>No amount AP</w:t>
            </w:r>
          </w:p>
        </w:tc>
        <w:tc>
          <w:tcPr>
            <w:tcW w:type="dxa" w:w="1512"/>
            <w:vAlign w:val="center"/>
            <w:shd w:fill="183B4A"/>
            <w:tcMar>
              <w:top w:w="80" w:type="dxa"/>
              <w:bottom w:w="80" w:type="dxa"/>
              <w:left w:w="80" w:type="dxa"/>
              <w:right w:w="80" w:type="dxa"/>
            </w:tcMar>
          </w:tcPr>
          <w:p>
            <w:pPr>
              <w:spacing w:after="40" w:before="40" w:line="252" w:lineRule="auto"/>
              <w:jc w:val="center"/>
            </w:pPr>
            <w:r>
              <w:rPr>
                <w:b/>
                <w:color w:val="FFFFFF"/>
                <w:sz w:val="18"/>
              </w:rPr>
              <w:t>Temporal AP</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Logistic Regression</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0.9186</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0.8525</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0.2318</w:t>
            </w:r>
          </w:p>
        </w:tc>
        <w:tc>
          <w:tcPr>
            <w:tcW w:type="dxa" w:w="1512"/>
            <w:vAlign w:val="center"/>
            <w:shd w:fill="FFFFFF"/>
            <w:tcMar>
              <w:top w:w="80" w:type="dxa"/>
              <w:bottom w:w="80" w:type="dxa"/>
              <w:left w:w="80" w:type="dxa"/>
              <w:right w:w="80" w:type="dxa"/>
            </w:tcMar>
          </w:tcPr>
          <w:p>
            <w:pPr>
              <w:spacing w:after="40" w:before="40" w:line="252" w:lineRule="auto"/>
              <w:jc w:val="center"/>
            </w:pPr>
            <w:r>
              <w:rPr>
                <w:b w:val="0"/>
                <w:color w:val="000000"/>
                <w:sz w:val="18"/>
              </w:rPr>
              <w:t>0.8799</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Random Forest</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0.9994</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0.2066</w:t>
            </w:r>
          </w:p>
        </w:tc>
        <w:tc>
          <w:tcPr>
            <w:tcW w:type="dxa" w:w="1512"/>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XGBoost</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0.2128</w:t>
            </w:r>
          </w:p>
        </w:tc>
        <w:tc>
          <w:tcPr>
            <w:tcW w:type="dxa" w:w="1512"/>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SVM</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0.9252</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0.8181</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0.1869</w:t>
            </w:r>
          </w:p>
        </w:tc>
        <w:tc>
          <w:tcPr>
            <w:tcW w:type="dxa" w:w="1512"/>
            <w:vAlign w:val="center"/>
            <w:shd w:fill="F1F5F6"/>
            <w:tcMar>
              <w:top w:w="80" w:type="dxa"/>
              <w:bottom w:w="80" w:type="dxa"/>
              <w:left w:w="80" w:type="dxa"/>
              <w:right w:w="80" w:type="dxa"/>
            </w:tcMar>
          </w:tcPr>
          <w:p>
            <w:pPr>
              <w:spacing w:after="40" w:before="40" w:line="252" w:lineRule="auto"/>
              <w:jc w:val="center"/>
            </w:pPr>
            <w:r>
              <w:rPr>
                <w:b w:val="0"/>
                <w:color w:val="000000"/>
                <w:sz w:val="18"/>
              </w:rPr>
              <w:t>0.8396</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Histogram GB</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0.9765</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0.9765</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0.2404</w:t>
            </w:r>
          </w:p>
        </w:tc>
        <w:tc>
          <w:tcPr>
            <w:tcW w:type="dxa" w:w="1512"/>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MLP</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0.9538</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0.8866</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0.2303</w:t>
            </w:r>
          </w:p>
        </w:tc>
        <w:tc>
          <w:tcPr>
            <w:tcW w:type="dxa" w:w="1512"/>
            <w:vAlign w:val="center"/>
            <w:shd w:fill="F1F5F6"/>
            <w:tcMar>
              <w:top w:w="80" w:type="dxa"/>
              <w:bottom w:w="80" w:type="dxa"/>
              <w:left w:w="80" w:type="dxa"/>
              <w:right w:w="80" w:type="dxa"/>
            </w:tcMar>
          </w:tcPr>
          <w:p>
            <w:pPr>
              <w:spacing w:after="40" w:before="40" w:line="252" w:lineRule="auto"/>
              <w:jc w:val="center"/>
            </w:pPr>
            <w:r>
              <w:rPr>
                <w:b w:val="0"/>
                <w:color w:val="000000"/>
                <w:sz w:val="18"/>
              </w:rPr>
              <w:t>0.8581</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Residual MLP</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0.9567</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0.8765</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0.2246</w:t>
            </w:r>
          </w:p>
        </w:tc>
        <w:tc>
          <w:tcPr>
            <w:tcW w:type="dxa" w:w="1512"/>
            <w:vAlign w:val="center"/>
            <w:shd w:fill="FFFFFF"/>
            <w:tcMar>
              <w:top w:w="80" w:type="dxa"/>
              <w:bottom w:w="80" w:type="dxa"/>
              <w:left w:w="80" w:type="dxa"/>
              <w:right w:w="80" w:type="dxa"/>
            </w:tcMar>
          </w:tcPr>
          <w:p>
            <w:pPr>
              <w:spacing w:after="40" w:before="40" w:line="252" w:lineRule="auto"/>
              <w:jc w:val="center"/>
            </w:pPr>
            <w:r>
              <w:rPr>
                <w:b w:val="0"/>
                <w:color w:val="000000"/>
                <w:sz w:val="18"/>
              </w:rPr>
              <w:t>0.7979</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1D CNN</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0.9882</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0.9667</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0.2287</w:t>
            </w:r>
          </w:p>
        </w:tc>
        <w:tc>
          <w:tcPr>
            <w:tcW w:type="dxa" w:w="1512"/>
            <w:vAlign w:val="center"/>
            <w:shd w:fill="F1F5F6"/>
            <w:tcMar>
              <w:top w:w="80" w:type="dxa"/>
              <w:bottom w:w="80" w:type="dxa"/>
              <w:left w:w="80" w:type="dxa"/>
              <w:right w:w="80" w:type="dxa"/>
            </w:tcMar>
          </w:tcPr>
          <w:p>
            <w:pPr>
              <w:spacing w:after="40" w:before="40" w:line="252" w:lineRule="auto"/>
              <w:jc w:val="center"/>
            </w:pPr>
            <w:r>
              <w:rPr>
                <w:b w:val="0"/>
                <w:color w:val="000000"/>
                <w:sz w:val="18"/>
              </w:rPr>
              <w:t>0.9172</w:t>
            </w:r>
          </w:p>
        </w:tc>
      </w:tr>
    </w:tbl>
    <w:p>
      <w:pPr>
        <w:widowControl/>
        <w:spacing w:after="0"/>
      </w:pPr>
    </w:p>
    <w:p>
      <w:pPr>
        <w:widowControl/>
        <w:spacing w:after="160"/>
      </w:pPr>
      <w:r>
        <w:rPr>
          <w:i/>
          <w:sz w:val="18"/>
        </w:rPr>
        <w:t>Table 9  Test AP across the original, intake, amount-removed and chronological experiments.</w:t>
      </w:r>
    </w:p>
    <w:p>
      <w:r>
        <w:drawing>
          <wp:inline xmlns:a="http://schemas.openxmlformats.org/drawingml/2006/main" xmlns:pic="http://schemas.openxmlformats.org/drawingml/2006/picture">
            <wp:extent cx="5669280" cy="2913380"/>
            <wp:docPr id="4" name="Picture 4"/>
            <wp:cNvGraphicFramePr>
              <a:graphicFrameLocks noChangeAspect="1"/>
            </wp:cNvGraphicFramePr>
            <a:graphic>
              <a:graphicData uri="http://schemas.openxmlformats.org/drawingml/2006/picture">
                <pic:pic>
                  <pic:nvPicPr>
                    <pic:cNvPr id="0" name="sensitivity.png"/>
                    <pic:cNvPicPr/>
                  </pic:nvPicPr>
                  <pic:blipFill>
                    <a:blip r:embed="rId13"/>
                    <a:stretch>
                      <a:fillRect/>
                    </a:stretch>
                  </pic:blipFill>
                  <pic:spPr>
                    <a:xfrm>
                      <a:off x="0" y="0"/>
                      <a:ext cx="5669280" cy="2913380"/>
                    </a:xfrm>
                    <a:prstGeom prst="rect"/>
                  </pic:spPr>
                </pic:pic>
              </a:graphicData>
            </a:graphic>
          </wp:inline>
        </w:drawing>
      </w:r>
    </w:p>
    <w:p>
      <w:pPr>
        <w:widowControl/>
        <w:spacing w:after="160"/>
      </w:pPr>
      <w:r>
        <w:rPr>
          <w:i/>
          <w:sz w:val="18"/>
        </w:rPr>
        <w:t>Figure 4  Random Forest sensitivity to the selected feature contract and the chronological split.</w:t>
      </w:r>
    </w:p>
    <w:p>
      <w:pPr>
        <w:widowControl/>
      </w:pPr>
      <w:r>
        <w:t>Removing Cluster does not remove the strong tree ranking. Removing both Cluster and ClaimAmount lowers AP across all algorithms to 0.1869–0.2404. Random Forest AP becomes 0.2066. Training impurity importance assigns about 44.0% to PatientIncome and 43.2% to ClaimAmount in the intake Random Forest. These importance scores describe fitted splits and are neither causal effects nor unbiased evidence of independent relevance.</w:t>
      </w:r>
    </w:p>
    <w:p>
      <w:pPr>
        <w:widowControl/>
      </w:pPr>
      <w:r>
        <w:t>The intake Random Forest has one false negative at workbook row 1124, with claim amount 7,465.07 source units, age 39 and claim type Outpatient. Its score is 0.2700, below the frozen threshold. The record belongs to the evaluation evidence; it does not justify changing the trained model after seeing the test result.</w:t>
      </w:r>
    </w:p>
    <w:p>
      <w:pPr>
        <w:pStyle w:val="Heading1"/>
        <w:pageBreakBefore/>
      </w:pPr>
      <w:r>
        <w:t>10 Chronological results and uncertainty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080"/>
        <w:gridCol w:w="1368"/>
        <w:gridCol w:w="1368"/>
        <w:gridCol w:w="1080"/>
        <w:gridCol w:w="936"/>
      </w:tblGrid>
      <w:tr>
        <w:trPr>
          <w:tblHeader/>
          <w:cantSplit/>
        </w:trPr>
        <w:tc>
          <w:tcPr>
            <w:tcW w:type="dxa" w:w="2376"/>
            <w:vAlign w:val="center"/>
            <w:shd w:fill="183B4A"/>
            <w:tcMar>
              <w:top w:w="80" w:type="dxa"/>
              <w:bottom w:w="80" w:type="dxa"/>
              <w:left w:w="80" w:type="dxa"/>
              <w:right w:w="80" w:type="dxa"/>
            </w:tcMar>
          </w:tcPr>
          <w:p>
            <w:pPr>
              <w:spacing w:after="40" w:before="40" w:line="252" w:lineRule="auto"/>
              <w:jc w:val="left"/>
            </w:pPr>
            <w:r>
              <w:rPr>
                <w:b/>
                <w:color w:val="FFFFFF"/>
                <w:sz w:val="18"/>
              </w:rPr>
              <w:t>Model</w:t>
            </w:r>
          </w:p>
        </w:tc>
        <w:tc>
          <w:tcPr>
            <w:tcW w:type="dxa" w:w="1080"/>
            <w:vAlign w:val="center"/>
            <w:shd w:fill="183B4A"/>
            <w:tcMar>
              <w:top w:w="80" w:type="dxa"/>
              <w:bottom w:w="80" w:type="dxa"/>
              <w:left w:w="80" w:type="dxa"/>
              <w:right w:w="80" w:type="dxa"/>
            </w:tcMar>
          </w:tcPr>
          <w:p>
            <w:pPr>
              <w:spacing w:after="40" w:before="40" w:line="252" w:lineRule="auto"/>
              <w:jc w:val="center"/>
            </w:pPr>
            <w:r>
              <w:rPr>
                <w:b/>
                <w:color w:val="FFFFFF"/>
                <w:sz w:val="18"/>
              </w:rPr>
              <w:t>AP</w:t>
            </w:r>
          </w:p>
        </w:tc>
        <w:tc>
          <w:tcPr>
            <w:tcW w:type="dxa" w:w="1368"/>
            <w:vAlign w:val="center"/>
            <w:shd w:fill="183B4A"/>
            <w:tcMar>
              <w:top w:w="80" w:type="dxa"/>
              <w:bottom w:w="80" w:type="dxa"/>
              <w:left w:w="80" w:type="dxa"/>
              <w:right w:w="80" w:type="dxa"/>
            </w:tcMar>
          </w:tcPr>
          <w:p>
            <w:pPr>
              <w:spacing w:after="40" w:before="40" w:line="252" w:lineRule="auto"/>
              <w:jc w:val="center"/>
            </w:pPr>
            <w:r>
              <w:rPr>
                <w:b/>
                <w:color w:val="FFFFFF"/>
                <w:sz w:val="18"/>
              </w:rPr>
              <w:t>Precision</w:t>
            </w:r>
          </w:p>
        </w:tc>
        <w:tc>
          <w:tcPr>
            <w:tcW w:type="dxa" w:w="1368"/>
            <w:vAlign w:val="center"/>
            <w:shd w:fill="183B4A"/>
            <w:tcMar>
              <w:top w:w="80" w:type="dxa"/>
              <w:bottom w:w="80" w:type="dxa"/>
              <w:left w:w="80" w:type="dxa"/>
              <w:right w:w="80" w:type="dxa"/>
            </w:tcMar>
          </w:tcPr>
          <w:p>
            <w:pPr>
              <w:spacing w:after="40" w:before="40" w:line="252" w:lineRule="auto"/>
              <w:jc w:val="center"/>
            </w:pPr>
            <w:r>
              <w:rPr>
                <w:b/>
                <w:color w:val="FFFFFF"/>
                <w:sz w:val="18"/>
              </w:rPr>
              <w:t>Recall</w:t>
            </w:r>
          </w:p>
        </w:tc>
        <w:tc>
          <w:tcPr>
            <w:tcW w:type="dxa" w:w="1080"/>
            <w:vAlign w:val="center"/>
            <w:shd w:fill="183B4A"/>
            <w:tcMar>
              <w:top w:w="80" w:type="dxa"/>
              <w:bottom w:w="80" w:type="dxa"/>
              <w:left w:w="80" w:type="dxa"/>
              <w:right w:w="80" w:type="dxa"/>
            </w:tcMar>
          </w:tcPr>
          <w:p>
            <w:pPr>
              <w:spacing w:after="40" w:before="40" w:line="252" w:lineRule="auto"/>
              <w:jc w:val="center"/>
            </w:pPr>
            <w:r>
              <w:rPr>
                <w:b/>
                <w:color w:val="FFFFFF"/>
                <w:sz w:val="18"/>
              </w:rPr>
              <w:t>F1</w:t>
            </w:r>
          </w:p>
        </w:tc>
        <w:tc>
          <w:tcPr>
            <w:tcW w:type="dxa" w:w="936"/>
            <w:vAlign w:val="center"/>
            <w:shd w:fill="183B4A"/>
            <w:tcMar>
              <w:top w:w="80" w:type="dxa"/>
              <w:bottom w:w="80" w:type="dxa"/>
              <w:left w:w="80" w:type="dxa"/>
              <w:right w:w="80" w:type="dxa"/>
            </w:tcMar>
          </w:tcPr>
          <w:p>
            <w:pPr>
              <w:spacing w:after="40" w:before="40" w:line="252" w:lineRule="auto"/>
              <w:jc w:val="center"/>
            </w:pPr>
            <w:r>
              <w:rPr>
                <w:b/>
                <w:color w:val="FFFFFF"/>
                <w:sz w:val="18"/>
              </w:rPr>
              <w:t>FP / FN</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Logistic Regression</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0.8799</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75.00%</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72.97%</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0.7397</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9 / 10</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Random Forest</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0 / 0</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XGBoost</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0 / 0</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SVM</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0.8396</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68.09%</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86.49%</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0.7619</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15 / 5</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Histogram GB</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0 / 0</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MLP</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0.8581</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75.00%</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64.86%</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0.6957</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8 / 13</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Residual MLP</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0.7979</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65.22%</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81.08%</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0.7229</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16 / 7</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1D CNN</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0.9172</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81.08%</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81.08%</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0.8108</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7 / 7</w:t>
            </w:r>
          </w:p>
        </w:tc>
      </w:tr>
    </w:tbl>
    <w:p>
      <w:pPr>
        <w:widowControl/>
        <w:spacing w:after="0"/>
      </w:pPr>
    </w:p>
    <w:p>
      <w:pPr>
        <w:widowControl/>
        <w:spacing w:after="160"/>
      </w:pPr>
      <w:r>
        <w:rPr>
          <w:i/>
          <w:sz w:val="18"/>
        </w:rPr>
        <w:t>Table 10  Chronological intake experiment. Test contains 671 claims and 37 fraud labels.</w:t>
      </w:r>
    </w:p>
    <w:p>
      <w:pPr>
        <w:widowControl/>
      </w:pPr>
      <w:r>
        <w:t>Random Forest, XGBoost and histogram Gradient Boosting each obtain AP and F1 of 1.0000 on the later test period. The neural models have lower F1, ranging from 0.6957 for MLP to 0.8108 for CNN. All preprocessing and thresholds come from the earlier partitions. These dates assess internal temporal separation while remaining within the same undocumented workbook.</w:t>
      </w:r>
    </w:p>
    <w:p>
      <w:pPr>
        <w:pStyle w:val="Heading2"/>
      </w:pPr>
      <w:r>
        <w:t>10 1 Conditional uncertainty</w:t>
      </w:r>
    </w:p>
    <w:p>
      <w:pPr>
        <w:widowControl/>
      </w:pPr>
      <w:r>
        <w:t>The selected random-split intake Random Forest has a 95% stratified bootstrap interval of 0.9610–1.0000 for F1 and 0.9250–1.0000 for recall, using 1,000 resamples and seed 2026. The method holds the model and threshold fixed and resamples positive and negative test rows separately. The AP interval is 1.0000–1.0000 because all observed test fraud scores outrank all legitimate scores. This degeneracy does not mean certainty about external population performance.</w:t>
      </w:r>
    </w:p>
    <w:p>
      <w:pPr>
        <w:widowControl/>
      </w:pPr>
      <w:r>
        <w:t>A single training seed and one split per experiment limit the comparison. The bootstrap does not include training variance, repeated threshold selection, changes in class prevalence or unknown shifts in label creation. Historical reuse of the random test split further limits strong generalization claims. More trustworthy improvement requires a documented independent dataset and repeated training within a prespecified protocol.</w:t>
      </w:r>
    </w:p>
    <w:p>
      <w:pPr>
        <w:pStyle w:val="Heading1"/>
        <w:pageBreakBefore/>
      </w:pPr>
      <w:r>
        <w:t>11 Website and prediction interface</w:t>
      </w:r>
    </w:p>
    <w:p>
      <w:pPr>
        <w:widowControl/>
      </w:pPr>
      <w:r>
        <w:t>Claim Fraud Lab provides four sections: project overview, model lab, measured results and method. The model lab switches between Approach 1 and Approach 2, selects one of the eight algorithms and selects either the 29-feature benchmark or 28-feature intake contract. Two examples from the workbook allow a quick demonstration. All model outputs include the decision threshold and feature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416"/>
      </w:tblGrid>
      <w:tr>
        <w:trPr>
          <w:tblHeader/>
          <w:cantSplit/>
        </w:trPr>
        <w:tc>
          <w:tcPr>
            <w:tcW w:type="dxa" w:w="2160"/>
            <w:vAlign w:val="center"/>
            <w:shd w:fill="183B4A"/>
            <w:tcMar>
              <w:top w:w="80" w:type="dxa"/>
              <w:bottom w:w="80" w:type="dxa"/>
              <w:left w:w="80" w:type="dxa"/>
              <w:right w:w="80" w:type="dxa"/>
            </w:tcMar>
          </w:tcPr>
          <w:p>
            <w:pPr>
              <w:spacing w:after="40" w:before="40" w:line="252" w:lineRule="auto"/>
              <w:jc w:val="left"/>
            </w:pPr>
            <w:r>
              <w:rPr>
                <w:b/>
                <w:color w:val="FFFFFF"/>
                <w:sz w:val="18"/>
              </w:rPr>
              <w:t>Interface element</w:t>
            </w:r>
          </w:p>
        </w:tc>
        <w:tc>
          <w:tcPr>
            <w:tcW w:type="dxa" w:w="7416"/>
            <w:vAlign w:val="center"/>
            <w:shd w:fill="183B4A"/>
            <w:tcMar>
              <w:top w:w="80" w:type="dxa"/>
              <w:bottom w:w="80" w:type="dxa"/>
              <w:left w:w="80" w:type="dxa"/>
              <w:right w:w="80" w:type="dxa"/>
            </w:tcMar>
          </w:tcPr>
          <w:p>
            <w:pPr>
              <w:spacing w:after="40" w:before="40" w:line="252" w:lineRule="auto"/>
              <w:jc w:val="center"/>
            </w:pPr>
            <w:r>
              <w:rPr>
                <w:b/>
                <w:color w:val="FFFFFF"/>
                <w:sz w:val="18"/>
              </w:rPr>
              <w:t>Behavior</w:t>
            </w:r>
          </w:p>
        </w:tc>
      </w:tr>
      <w:tr>
        <w:trPr>
          <w:cantSplit/>
        </w:trPr>
        <w:tc>
          <w:tcPr>
            <w:tcW w:type="dxa" w:w="2160"/>
            <w:vAlign w:val="center"/>
            <w:shd w:fill="FFFFFF"/>
            <w:tcMar>
              <w:top w:w="80" w:type="dxa"/>
              <w:bottom w:w="80" w:type="dxa"/>
              <w:left w:w="80" w:type="dxa"/>
              <w:right w:w="80" w:type="dxa"/>
            </w:tcMar>
          </w:tcPr>
          <w:p>
            <w:pPr>
              <w:spacing w:after="40" w:before="40" w:line="252" w:lineRule="auto"/>
              <w:jc w:val="left"/>
            </w:pPr>
            <w:r>
              <w:rPr>
                <w:b w:val="0"/>
                <w:color w:val="000000"/>
                <w:sz w:val="18"/>
              </w:rPr>
              <w:t>Feature contract</w:t>
            </w:r>
          </w:p>
        </w:tc>
        <w:tc>
          <w:tcPr>
            <w:tcW w:type="dxa" w:w="7416"/>
            <w:vAlign w:val="center"/>
            <w:shd w:fill="FFFFFF"/>
            <w:tcMar>
              <w:top w:w="80" w:type="dxa"/>
              <w:bottom w:w="80" w:type="dxa"/>
              <w:left w:w="80" w:type="dxa"/>
              <w:right w:w="80" w:type="dxa"/>
            </w:tcMar>
          </w:tcPr>
          <w:p>
            <w:pPr>
              <w:spacing w:after="40" w:before="40" w:line="252" w:lineRule="auto"/>
              <w:jc w:val="center"/>
            </w:pPr>
            <w:r>
              <w:rPr>
                <w:b w:val="0"/>
                <w:color w:val="000000"/>
                <w:sz w:val="18"/>
              </w:rPr>
              <w:t>Intake omits Cluster. Original comparison requires Cluster. ClaimStatus and target are never model inputs.</w:t>
            </w:r>
          </w:p>
        </w:tc>
      </w:tr>
      <w:tr>
        <w:trPr>
          <w:cantSplit/>
        </w:trPr>
        <w:tc>
          <w:tcPr>
            <w:tcW w:type="dxa" w:w="2160"/>
            <w:vAlign w:val="center"/>
            <w:shd w:fill="F1F5F6"/>
            <w:tcMar>
              <w:top w:w="80" w:type="dxa"/>
              <w:bottom w:w="80" w:type="dxa"/>
              <w:left w:w="80" w:type="dxa"/>
              <w:right w:w="80" w:type="dxa"/>
            </w:tcMar>
          </w:tcPr>
          <w:p>
            <w:pPr>
              <w:spacing w:after="40" w:before="40" w:line="252" w:lineRule="auto"/>
              <w:jc w:val="left"/>
            </w:pPr>
            <w:r>
              <w:rPr>
                <w:b w:val="0"/>
                <w:color w:val="000000"/>
                <w:sz w:val="18"/>
              </w:rPr>
              <w:t>Claim form</w:t>
            </w:r>
          </w:p>
        </w:tc>
        <w:tc>
          <w:tcPr>
            <w:tcW w:type="dxa" w:w="7416"/>
            <w:vAlign w:val="center"/>
            <w:shd w:fill="F1F5F6"/>
            <w:tcMar>
              <w:top w:w="80" w:type="dxa"/>
              <w:bottom w:w="80" w:type="dxa"/>
              <w:left w:w="80" w:type="dxa"/>
              <w:right w:w="80" w:type="dxa"/>
            </w:tcMar>
          </w:tcPr>
          <w:p>
            <w:pPr>
              <w:spacing w:after="40" w:before="40" w:line="252" w:lineRule="auto"/>
              <w:jc w:val="center"/>
            </w:pPr>
            <w:r>
              <w:rPr>
                <w:b w:val="0"/>
                <w:color w:val="000000"/>
                <w:sz w:val="18"/>
              </w:rPr>
              <w:t>Checks required numbers, date validity, age range and known category choices.</w:t>
            </w:r>
          </w:p>
        </w:tc>
      </w:tr>
      <w:tr>
        <w:trPr>
          <w:cantSplit/>
        </w:trPr>
        <w:tc>
          <w:tcPr>
            <w:tcW w:type="dxa" w:w="2160"/>
            <w:vAlign w:val="center"/>
            <w:shd w:fill="FFFFFF"/>
            <w:tcMar>
              <w:top w:w="80" w:type="dxa"/>
              <w:bottom w:w="80" w:type="dxa"/>
              <w:left w:w="80" w:type="dxa"/>
              <w:right w:w="80" w:type="dxa"/>
            </w:tcMar>
          </w:tcPr>
          <w:p>
            <w:pPr>
              <w:spacing w:after="40" w:before="40" w:line="252" w:lineRule="auto"/>
              <w:jc w:val="left"/>
            </w:pPr>
            <w:r>
              <w:rPr>
                <w:b w:val="0"/>
                <w:color w:val="000000"/>
                <w:sz w:val="18"/>
              </w:rPr>
              <w:t>Model inference</w:t>
            </w:r>
          </w:p>
        </w:tc>
        <w:tc>
          <w:tcPr>
            <w:tcW w:type="dxa" w:w="7416"/>
            <w:vAlign w:val="center"/>
            <w:shd w:fill="FFFFFF"/>
            <w:tcMar>
              <w:top w:w="80" w:type="dxa"/>
              <w:bottom w:w="80" w:type="dxa"/>
              <w:left w:w="80" w:type="dxa"/>
              <w:right w:w="80" w:type="dxa"/>
            </w:tcMar>
          </w:tcPr>
          <w:p>
            <w:pPr>
              <w:spacing w:after="40" w:before="40" w:line="252" w:lineRule="auto"/>
              <w:jc w:val="center"/>
            </w:pPr>
            <w:r>
              <w:rPr>
                <w:b w:val="0"/>
                <w:color w:val="000000"/>
                <w:sz w:val="18"/>
              </w:rPr>
              <w:t>Evaluates exported fitted model parameters in the browser. It does not call an external prediction service.</w:t>
            </w:r>
          </w:p>
        </w:tc>
      </w:tr>
      <w:tr>
        <w:trPr>
          <w:cantSplit/>
        </w:trPr>
        <w:tc>
          <w:tcPr>
            <w:tcW w:type="dxa" w:w="2160"/>
            <w:vAlign w:val="center"/>
            <w:shd w:fill="F1F5F6"/>
            <w:tcMar>
              <w:top w:w="80" w:type="dxa"/>
              <w:bottom w:w="80" w:type="dxa"/>
              <w:left w:w="80" w:type="dxa"/>
              <w:right w:w="80" w:type="dxa"/>
            </w:tcMar>
          </w:tcPr>
          <w:p>
            <w:pPr>
              <w:spacing w:after="40" w:before="40" w:line="252" w:lineRule="auto"/>
              <w:jc w:val="left"/>
            </w:pPr>
            <w:r>
              <w:rPr>
                <w:b w:val="0"/>
                <w:color w:val="000000"/>
                <w:sz w:val="18"/>
              </w:rPr>
              <w:t>Comparison</w:t>
            </w:r>
          </w:p>
        </w:tc>
        <w:tc>
          <w:tcPr>
            <w:tcW w:type="dxa" w:w="7416"/>
            <w:vAlign w:val="center"/>
            <w:shd w:fill="F1F5F6"/>
            <w:tcMar>
              <w:top w:w="80" w:type="dxa"/>
              <w:bottom w:w="80" w:type="dxa"/>
              <w:left w:w="80" w:type="dxa"/>
              <w:right w:w="80" w:type="dxa"/>
            </w:tcMar>
          </w:tcPr>
          <w:p>
            <w:pPr>
              <w:spacing w:after="40" w:before="40" w:line="252" w:lineRule="auto"/>
              <w:jc w:val="center"/>
            </w:pPr>
            <w:r>
              <w:rPr>
                <w:b w:val="0"/>
                <w:color w:val="000000"/>
                <w:sz w:val="18"/>
              </w:rPr>
              <w:t>Shows all eight scores and indicates whether each exceeds its own threshold.</w:t>
            </w:r>
          </w:p>
        </w:tc>
      </w:tr>
      <w:tr>
        <w:trPr>
          <w:cantSplit/>
        </w:trPr>
        <w:tc>
          <w:tcPr>
            <w:tcW w:type="dxa" w:w="2160"/>
            <w:vAlign w:val="center"/>
            <w:shd w:fill="FFFFFF"/>
            <w:tcMar>
              <w:top w:w="80" w:type="dxa"/>
              <w:bottom w:w="80" w:type="dxa"/>
              <w:left w:w="80" w:type="dxa"/>
              <w:right w:w="80" w:type="dxa"/>
            </w:tcMar>
          </w:tcPr>
          <w:p>
            <w:pPr>
              <w:spacing w:after="40" w:before="40" w:line="252" w:lineRule="auto"/>
              <w:jc w:val="left"/>
            </w:pPr>
            <w:r>
              <w:rPr>
                <w:b w:val="0"/>
                <w:color w:val="000000"/>
                <w:sz w:val="18"/>
              </w:rPr>
              <w:t>Results view</w:t>
            </w:r>
          </w:p>
        </w:tc>
        <w:tc>
          <w:tcPr>
            <w:tcW w:type="dxa" w:w="7416"/>
            <w:vAlign w:val="center"/>
            <w:shd w:fill="FFFFFF"/>
            <w:tcMar>
              <w:top w:w="80" w:type="dxa"/>
              <w:bottom w:w="80" w:type="dxa"/>
              <w:left w:w="80" w:type="dxa"/>
              <w:right w:w="80" w:type="dxa"/>
            </w:tcMar>
          </w:tcPr>
          <w:p>
            <w:pPr>
              <w:spacing w:after="40" w:before="40" w:line="252" w:lineRule="auto"/>
              <w:jc w:val="center"/>
            </w:pPr>
            <w:r>
              <w:rPr>
                <w:b w:val="0"/>
                <w:color w:val="000000"/>
                <w:sz w:val="18"/>
              </w:rPr>
              <w:t>Switches among original, intake, amount sensitivity and chronological experiments.</w:t>
            </w:r>
          </w:p>
        </w:tc>
      </w:tr>
      <w:tr>
        <w:trPr>
          <w:cantSplit/>
        </w:trPr>
        <w:tc>
          <w:tcPr>
            <w:tcW w:type="dxa" w:w="2160"/>
            <w:vAlign w:val="center"/>
            <w:shd w:fill="F1F5F6"/>
            <w:tcMar>
              <w:top w:w="80" w:type="dxa"/>
              <w:bottom w:w="80" w:type="dxa"/>
              <w:left w:w="80" w:type="dxa"/>
              <w:right w:w="80" w:type="dxa"/>
            </w:tcMar>
          </w:tcPr>
          <w:p>
            <w:pPr>
              <w:spacing w:after="40" w:before="40" w:line="252" w:lineRule="auto"/>
              <w:jc w:val="left"/>
            </w:pPr>
            <w:r>
              <w:rPr>
                <w:b w:val="0"/>
                <w:color w:val="000000"/>
                <w:sz w:val="18"/>
              </w:rPr>
              <w:t>Prediction export</w:t>
            </w:r>
          </w:p>
        </w:tc>
        <w:tc>
          <w:tcPr>
            <w:tcW w:type="dxa" w:w="7416"/>
            <w:vAlign w:val="center"/>
            <w:shd w:fill="F1F5F6"/>
            <w:tcMar>
              <w:top w:w="80" w:type="dxa"/>
              <w:bottom w:w="80" w:type="dxa"/>
              <w:left w:w="80" w:type="dxa"/>
              <w:right w:w="80" w:type="dxa"/>
            </w:tcMar>
          </w:tcPr>
          <w:p>
            <w:pPr>
              <w:spacing w:after="40" w:before="40" w:line="252" w:lineRule="auto"/>
              <w:jc w:val="center"/>
            </w:pPr>
            <w:r>
              <w:rPr>
                <w:b w:val="0"/>
                <w:color w:val="000000"/>
                <w:sz w:val="18"/>
              </w:rPr>
              <w:t>Downloads the inputs, contract, threshold policy and model outputs as JSON.</w:t>
            </w:r>
          </w:p>
        </w:tc>
      </w:tr>
      <w:tr>
        <w:trPr>
          <w:cantSplit/>
        </w:trPr>
        <w:tc>
          <w:tcPr>
            <w:tcW w:type="dxa" w:w="2160"/>
            <w:vAlign w:val="center"/>
            <w:shd w:fill="FFFFFF"/>
            <w:tcMar>
              <w:top w:w="80" w:type="dxa"/>
              <w:bottom w:w="80" w:type="dxa"/>
              <w:left w:w="80" w:type="dxa"/>
              <w:right w:w="80" w:type="dxa"/>
            </w:tcMar>
          </w:tcPr>
          <w:p>
            <w:pPr>
              <w:spacing w:after="40" w:before="40" w:line="252" w:lineRule="auto"/>
              <w:jc w:val="left"/>
            </w:pPr>
            <w:r>
              <w:rPr>
                <w:b w:val="0"/>
                <w:color w:val="000000"/>
                <w:sz w:val="18"/>
              </w:rPr>
              <w:t>Local API</w:t>
            </w:r>
          </w:p>
        </w:tc>
        <w:tc>
          <w:tcPr>
            <w:tcW w:type="dxa" w:w="7416"/>
            <w:vAlign w:val="center"/>
            <w:shd w:fill="FFFFFF"/>
            <w:tcMar>
              <w:top w:w="80" w:type="dxa"/>
              <w:bottom w:w="80" w:type="dxa"/>
              <w:left w:w="80" w:type="dxa"/>
              <w:right w:w="80" w:type="dxa"/>
            </w:tcMar>
          </w:tcPr>
          <w:p>
            <w:pPr>
              <w:spacing w:after="40" w:before="40" w:line="252" w:lineRule="auto"/>
              <w:jc w:val="center"/>
            </w:pPr>
            <w:r>
              <w:rPr>
                <w:b w:val="0"/>
                <w:color w:val="000000"/>
                <w:sz w:val="18"/>
              </w:rPr>
              <w:t>POST /api/predict computes the same contract with Python artifacts. GET /api/health lists eight models.</w:t>
            </w:r>
          </w:p>
        </w:tc>
      </w:tr>
    </w:tbl>
    <w:p>
      <w:pPr>
        <w:widowControl/>
        <w:spacing w:after="0"/>
      </w:pPr>
    </w:p>
    <w:p>
      <w:pPr>
        <w:widowControl/>
      </w:pPr>
      <w:r>
        <w:t>The local site serves from http://127.0.0.1:8080. The private hosted copy is available at https://claim-fraud-lab-ravi-2026.clearbell16.chatgpt.site and uses the same static files and fitted parameter JSON. Browser inference allows the hosted demonstration to work without uploading claim inputs or exposing the local Python service. The two rendering paths serve the same completed model scope.</w:t>
      </w:r>
    </w:p>
    <w:p>
      <w:pPr>
        <w:pStyle w:val="Heading2"/>
      </w:pPr>
      <w:r>
        <w:t>11 1 Implementation validation</w:t>
      </w:r>
    </w:p>
    <w:p>
      <w:pPr>
        <w:widowControl/>
      </w:pPr>
      <w:r>
        <w:t>Across 1,350 test-claim preprocessing comparisons, browser and Python feature vectors match exactly after float32 conversion. Across 10,800 model-score comparisons, the largest absolute difference is 0.00000044, with zero decision mismatches. API checks cover 32 valid prediction requests, four invalid-input cases and five static routes. Browser interaction checks cover example loading, model comparison and navigation.</w:t>
      </w:r>
    </w:p>
    <w:p>
      <w:pPr>
        <w:pStyle w:val="Heading1"/>
        <w:pageBreakBefore/>
      </w:pPr>
      <w:r>
        <w:t>12 Reproduction and demonstration procedure</w:t>
      </w:r>
    </w:p>
    <w:p>
      <w:pPr>
        <w:pStyle w:val="Heading2"/>
      </w:pPr>
      <w:r>
        <w:t>12 1 Environment</w:t>
      </w:r>
    </w:p>
    <w:p>
      <w:pPr>
        <w:widowControl/>
      </w:pPr>
      <w:r>
        <w:t>Use Python 3.12 and the package versions in submission/requirements-lock.txt. Create a virtual environment at the repository root, then install dependencies. The tested environment uses CPU PyTorch. A CPU wheel index may be used for torch. The document builder uses the separate bundled artifact runtime and is not required to launch the model demonstration.</w:t>
      </w:r>
    </w:p>
    <w:p>
      <w:pPr>
        <w:widowControl/>
        <w:jc w:val="left"/>
      </w:pPr>
      <w:r>
        <w:rPr>
          <w:rFonts w:ascii="Consolas" w:hAnsi="Consolas"/>
          <w:sz w:val="18"/>
        </w:rPr>
        <w:t>python -m venv .submission-venv</w:t>
      </w:r>
    </w:p>
    <w:p>
      <w:pPr>
        <w:widowControl/>
        <w:jc w:val="left"/>
      </w:pPr>
      <w:r>
        <w:rPr>
          <w:rFonts w:ascii="Consolas" w:hAnsi="Consolas"/>
          <w:sz w:val="18"/>
        </w:rPr>
        <w:t>.submission-venv\Scripts\python.exe -m pip install -r submission\requirements-lock.txt</w:t>
      </w:r>
    </w:p>
    <w:p>
      <w:pPr>
        <w:widowControl/>
        <w:jc w:val="left"/>
      </w:pPr>
      <w:r>
        <w:rPr>
          <w:rFonts w:ascii="Consolas" w:hAnsi="Consolas"/>
          <w:sz w:val="18"/>
        </w:rPr>
        <w:t>.submission-venv\Scripts\python.exe submission\scripts\run_pipeline.py</w:t>
      </w:r>
    </w:p>
    <w:p>
      <w:pPr>
        <w:widowControl/>
        <w:jc w:val="left"/>
      </w:pPr>
      <w:r>
        <w:rPr>
          <w:rFonts w:ascii="Consolas" w:hAnsi="Consolas"/>
          <w:sz w:val="18"/>
        </w:rPr>
        <w:t>.submission-venv\Scripts\python.exe submission\scripts\export_browser.py</w:t>
      </w:r>
    </w:p>
    <w:p>
      <w:pPr>
        <w:widowControl/>
        <w:jc w:val="left"/>
      </w:pPr>
      <w:r>
        <w:rPr>
          <w:rFonts w:ascii="Consolas" w:hAnsi="Consolas"/>
          <w:sz w:val="18"/>
        </w:rPr>
        <w:t>.submission-venv\Scripts\python.exe submission\scripts\make_figures.py</w:t>
      </w:r>
    </w:p>
    <w:p>
      <w:pPr>
        <w:widowControl/>
        <w:jc w:val="left"/>
      </w:pPr>
      <w:r>
        <w:rPr>
          <w:rFonts w:ascii="Consolas" w:hAnsi="Consolas"/>
          <w:sz w:val="18"/>
        </w:rPr>
        <w:t>.submission-venv\Scripts\python.exe submission\scripts\verify.py</w:t>
      </w:r>
    </w:p>
    <w:p>
      <w:pPr>
        <w:widowControl/>
        <w:jc w:val="left"/>
      </w:pPr>
      <w:r>
        <w:rPr>
          <w:rFonts w:ascii="Consolas" w:hAnsi="Consolas"/>
          <w:sz w:val="18"/>
        </w:rPr>
        <w:t>node submission\scripts\check_browser.mjs</w:t>
      </w:r>
    </w:p>
    <w:p>
      <w:pPr>
        <w:widowControl/>
        <w:jc w:val="left"/>
      </w:pPr>
      <w:r>
        <w:rPr>
          <w:rFonts w:ascii="Consolas" w:hAnsi="Consolas"/>
          <w:sz w:val="18"/>
        </w:rPr>
        <w:t>powershell -ExecutionPolicy Bypass -File submission\START_DEMO.ps1</w:t>
      </w:r>
    </w:p>
    <w:p>
      <w:pPr>
        <w:pStyle w:val="Heading2"/>
      </w:pPr>
      <w:r>
        <w:t>12 2 Demonstration sequence</w:t>
      </w:r>
    </w:p>
    <w:p>
      <w:pPr>
        <w:pStyle w:val="ListNumber"/>
        <w:widowControl/>
      </w:pPr>
      <w:r>
        <w:t>Open the site and state the two approaches and the dataset class imbalance.</w:t>
      </w:r>
    </w:p>
    <w:p>
      <w:pPr>
        <w:pStyle w:val="ListNumber"/>
        <w:widowControl/>
      </w:pPr>
      <w:r>
        <w:t>Use the intake contract and default Random Forest. Load the legitimate example and test it.</w:t>
      </w:r>
    </w:p>
    <w:p>
      <w:pPr>
        <w:pStyle w:val="ListNumber"/>
        <w:widowControl/>
      </w:pPr>
      <w:r>
        <w:t>Load the fraud example and compare all eight algorithms. Explain score and threshold differences.</w:t>
      </w:r>
    </w:p>
    <w:p>
      <w:pPr>
        <w:pStyle w:val="ListNumber"/>
        <w:widowControl/>
      </w:pPr>
      <w:r>
        <w:t>Switch to Approach 2 and test each neural architecture.</w:t>
      </w:r>
    </w:p>
    <w:p>
      <w:pPr>
        <w:pStyle w:val="ListNumber"/>
        <w:widowControl/>
      </w:pPr>
      <w:r>
        <w:t>Switch the feature contract to the original benchmark and show that Cluster becomes an input.</w:t>
      </w:r>
    </w:p>
    <w:p>
      <w:pPr>
        <w:pStyle w:val="ListNumber"/>
        <w:widowControl/>
      </w:pPr>
      <w:r>
        <w:t>Open Results and compare the amount sensitivity and chronological experiments. End with the amount dependency and external-validation limitation.</w:t>
      </w:r>
    </w:p>
    <w:p>
      <w:pPr>
        <w:pStyle w:val="Heading1"/>
        <w:pageBreakBefore/>
      </w:pPr>
      <w:r>
        <w:t>13 Artifact map and research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544"/>
      </w:tblGrid>
      <w:tr>
        <w:trPr>
          <w:tblHeader/>
          <w:cantSplit/>
        </w:trPr>
        <w:tc>
          <w:tcPr>
            <w:tcW w:type="dxa" w:w="4032"/>
            <w:vAlign w:val="center"/>
            <w:shd w:fill="183B4A"/>
            <w:tcMar>
              <w:top w:w="80" w:type="dxa"/>
              <w:bottom w:w="80" w:type="dxa"/>
              <w:left w:w="80" w:type="dxa"/>
              <w:right w:w="80" w:type="dxa"/>
            </w:tcMar>
          </w:tcPr>
          <w:p>
            <w:pPr>
              <w:spacing w:after="40" w:before="40" w:line="252" w:lineRule="auto"/>
              <w:jc w:val="left"/>
            </w:pPr>
            <w:r>
              <w:rPr>
                <w:b/>
                <w:color w:val="FFFFFF"/>
                <w:sz w:val="18"/>
              </w:rPr>
              <w:t>Path under submission</w:t>
            </w:r>
          </w:p>
        </w:tc>
        <w:tc>
          <w:tcPr>
            <w:tcW w:type="dxa" w:w="5544"/>
            <w:vAlign w:val="center"/>
            <w:shd w:fill="183B4A"/>
            <w:tcMar>
              <w:top w:w="80" w:type="dxa"/>
              <w:bottom w:w="80" w:type="dxa"/>
              <w:left w:w="80" w:type="dxa"/>
              <w:right w:w="80" w:type="dxa"/>
            </w:tcMar>
          </w:tcPr>
          <w:p>
            <w:pPr>
              <w:spacing w:after="40" w:before="40" w:line="252" w:lineRule="auto"/>
              <w:jc w:val="center"/>
            </w:pPr>
            <w:r>
              <w:rPr>
                <w:b/>
                <w:color w:val="FFFFFF"/>
                <w:sz w:val="18"/>
              </w:rPr>
              <w:t>Purpose</w:t>
            </w:r>
          </w:p>
        </w:tc>
      </w:tr>
      <w:tr>
        <w:trPr>
          <w:cantSplit/>
        </w:trPr>
        <w:tc>
          <w:tcPr>
            <w:tcW w:type="dxa" w:w="4032"/>
            <w:vAlign w:val="center"/>
            <w:shd w:fill="FFFFFF"/>
            <w:tcMar>
              <w:top w:w="80" w:type="dxa"/>
              <w:bottom w:w="80" w:type="dxa"/>
              <w:left w:w="80" w:type="dxa"/>
              <w:right w:w="80" w:type="dxa"/>
            </w:tcMar>
          </w:tcPr>
          <w:p>
            <w:pPr>
              <w:spacing w:after="40" w:before="40" w:line="252" w:lineRule="auto"/>
              <w:jc w:val="left"/>
            </w:pPr>
            <w:r>
              <w:rPr>
                <w:b w:val="0"/>
                <w:color w:val="000000"/>
                <w:sz w:val="18"/>
              </w:rPr>
              <w:t>scripts/run_pipeline.py</w:t>
            </w:r>
          </w:p>
        </w:tc>
        <w:tc>
          <w:tcPr>
            <w:tcW w:type="dxa" w:w="5544"/>
            <w:vAlign w:val="center"/>
            <w:shd w:fill="FFFFFF"/>
            <w:tcMar>
              <w:top w:w="80" w:type="dxa"/>
              <w:bottom w:w="80" w:type="dxa"/>
              <w:left w:w="80" w:type="dxa"/>
              <w:right w:w="80" w:type="dxa"/>
            </w:tcMar>
          </w:tcPr>
          <w:p>
            <w:pPr>
              <w:spacing w:after="40" w:before="40" w:line="252" w:lineRule="auto"/>
              <w:jc w:val="center"/>
            </w:pPr>
            <w:r>
              <w:rPr>
                <w:b w:val="0"/>
                <w:color w:val="000000"/>
                <w:sz w:val="18"/>
              </w:rPr>
              <w:t>Shared data audit, training, validation, testing and selection</w:t>
            </w:r>
          </w:p>
        </w:tc>
      </w:tr>
      <w:tr>
        <w:trPr>
          <w:cantSplit/>
        </w:trPr>
        <w:tc>
          <w:tcPr>
            <w:tcW w:type="dxa" w:w="4032"/>
            <w:vAlign w:val="center"/>
            <w:shd w:fill="F1F5F6"/>
            <w:tcMar>
              <w:top w:w="80" w:type="dxa"/>
              <w:bottom w:w="80" w:type="dxa"/>
              <w:left w:w="80" w:type="dxa"/>
              <w:right w:w="80" w:type="dxa"/>
            </w:tcMar>
          </w:tcPr>
          <w:p>
            <w:pPr>
              <w:spacing w:after="40" w:before="40" w:line="252" w:lineRule="auto"/>
              <w:jc w:val="left"/>
            </w:pPr>
            <w:r>
              <w:rPr>
                <w:b w:val="0"/>
                <w:color w:val="000000"/>
                <w:sz w:val="18"/>
              </w:rPr>
              <w:t>models/&lt;experiment&gt;/</w:t>
            </w:r>
          </w:p>
        </w:tc>
        <w:tc>
          <w:tcPr>
            <w:tcW w:type="dxa" w:w="5544"/>
            <w:vAlign w:val="center"/>
            <w:shd w:fill="F1F5F6"/>
            <w:tcMar>
              <w:top w:w="80" w:type="dxa"/>
              <w:bottom w:w="80" w:type="dxa"/>
              <w:left w:w="80" w:type="dxa"/>
              <w:right w:w="80" w:type="dxa"/>
            </w:tcMar>
          </w:tcPr>
          <w:p>
            <w:pPr>
              <w:spacing w:after="40" w:before="40" w:line="252" w:lineRule="auto"/>
              <w:jc w:val="center"/>
            </w:pPr>
            <w:r>
              <w:rPr>
                <w:b w:val="0"/>
                <w:color w:val="000000"/>
                <w:sz w:val="18"/>
              </w:rPr>
              <w:t>Fitted preprocessors, five classical models, three neural checkpoints and contract</w:t>
            </w:r>
          </w:p>
        </w:tc>
      </w:tr>
      <w:tr>
        <w:trPr>
          <w:cantSplit/>
        </w:trPr>
        <w:tc>
          <w:tcPr>
            <w:tcW w:type="dxa" w:w="4032"/>
            <w:vAlign w:val="center"/>
            <w:shd w:fill="FFFFFF"/>
            <w:tcMar>
              <w:top w:w="80" w:type="dxa"/>
              <w:bottom w:w="80" w:type="dxa"/>
              <w:left w:w="80" w:type="dxa"/>
              <w:right w:w="80" w:type="dxa"/>
            </w:tcMar>
          </w:tcPr>
          <w:p>
            <w:pPr>
              <w:spacing w:after="40" w:before="40" w:line="252" w:lineRule="auto"/>
              <w:jc w:val="left"/>
            </w:pPr>
            <w:r>
              <w:rPr>
                <w:b w:val="0"/>
                <w:color w:val="000000"/>
                <w:sz w:val="18"/>
              </w:rPr>
              <w:t>results/metrics.csv</w:t>
            </w:r>
          </w:p>
        </w:tc>
        <w:tc>
          <w:tcPr>
            <w:tcW w:type="dxa" w:w="5544"/>
            <w:vAlign w:val="center"/>
            <w:shd w:fill="FFFFFF"/>
            <w:tcMar>
              <w:top w:w="80" w:type="dxa"/>
              <w:bottom w:w="80" w:type="dxa"/>
              <w:left w:w="80" w:type="dxa"/>
              <w:right w:w="80" w:type="dxa"/>
            </w:tcMar>
          </w:tcPr>
          <w:p>
            <w:pPr>
              <w:spacing w:after="40" w:before="40" w:line="252" w:lineRule="auto"/>
              <w:jc w:val="center"/>
            </w:pPr>
            <w:r>
              <w:rPr>
                <w:b w:val="0"/>
                <w:color w:val="000000"/>
                <w:sz w:val="18"/>
              </w:rPr>
              <w:t>128 metric records for partition and threshold policy combinations</w:t>
            </w:r>
          </w:p>
        </w:tc>
      </w:tr>
      <w:tr>
        <w:trPr>
          <w:cantSplit/>
        </w:trPr>
        <w:tc>
          <w:tcPr>
            <w:tcW w:type="dxa" w:w="4032"/>
            <w:vAlign w:val="center"/>
            <w:shd w:fill="F1F5F6"/>
            <w:tcMar>
              <w:top w:w="80" w:type="dxa"/>
              <w:bottom w:w="80" w:type="dxa"/>
              <w:left w:w="80" w:type="dxa"/>
              <w:right w:w="80" w:type="dxa"/>
            </w:tcMar>
          </w:tcPr>
          <w:p>
            <w:pPr>
              <w:spacing w:after="40" w:before="40" w:line="252" w:lineRule="auto"/>
              <w:jc w:val="left"/>
            </w:pPr>
            <w:r>
              <w:rPr>
                <w:b w:val="0"/>
                <w:color w:val="000000"/>
                <w:sz w:val="18"/>
              </w:rPr>
              <w:t>results/predictions.csv</w:t>
            </w:r>
          </w:p>
        </w:tc>
        <w:tc>
          <w:tcPr>
            <w:tcW w:type="dxa" w:w="5544"/>
            <w:vAlign w:val="center"/>
            <w:shd w:fill="F1F5F6"/>
            <w:tcMar>
              <w:top w:w="80" w:type="dxa"/>
              <w:bottom w:w="80" w:type="dxa"/>
              <w:left w:w="80" w:type="dxa"/>
              <w:right w:w="80" w:type="dxa"/>
            </w:tcMar>
          </w:tcPr>
          <w:p>
            <w:pPr>
              <w:spacing w:after="40" w:before="40" w:line="252" w:lineRule="auto"/>
              <w:jc w:val="center"/>
            </w:pPr>
            <w:r>
              <w:rPr>
                <w:b w:val="0"/>
                <w:color w:val="000000"/>
                <w:sz w:val="18"/>
              </w:rPr>
              <w:t>Auditable validation and test scores by workbook row</w:t>
            </w:r>
          </w:p>
        </w:tc>
      </w:tr>
      <w:tr>
        <w:trPr>
          <w:cantSplit/>
        </w:trPr>
        <w:tc>
          <w:tcPr>
            <w:tcW w:type="dxa" w:w="4032"/>
            <w:vAlign w:val="center"/>
            <w:shd w:fill="FFFFFF"/>
            <w:tcMar>
              <w:top w:w="80" w:type="dxa"/>
              <w:bottom w:w="80" w:type="dxa"/>
              <w:left w:w="80" w:type="dxa"/>
              <w:right w:w="80" w:type="dxa"/>
            </w:tcMar>
          </w:tcPr>
          <w:p>
            <w:pPr>
              <w:spacing w:after="40" w:before="40" w:line="252" w:lineRule="auto"/>
              <w:jc w:val="left"/>
            </w:pPr>
            <w:r>
              <w:rPr>
                <w:b w:val="0"/>
                <w:color w:val="000000"/>
                <w:sz w:val="18"/>
              </w:rPr>
              <w:t>data/*_split_manifest.csv</w:t>
            </w:r>
          </w:p>
        </w:tc>
        <w:tc>
          <w:tcPr>
            <w:tcW w:type="dxa" w:w="5544"/>
            <w:vAlign w:val="center"/>
            <w:shd w:fill="FFFFFF"/>
            <w:tcMar>
              <w:top w:w="80" w:type="dxa"/>
              <w:bottom w:w="80" w:type="dxa"/>
              <w:left w:w="80" w:type="dxa"/>
              <w:right w:w="80" w:type="dxa"/>
            </w:tcMar>
          </w:tcPr>
          <w:p>
            <w:pPr>
              <w:spacing w:after="40" w:before="40" w:line="252" w:lineRule="auto"/>
              <w:jc w:val="center"/>
            </w:pPr>
            <w:r>
              <w:rPr>
                <w:b w:val="0"/>
                <w:color w:val="000000"/>
                <w:sz w:val="18"/>
              </w:rPr>
              <w:t>Source-row partition membership</w:t>
            </w:r>
          </w:p>
        </w:tc>
      </w:tr>
      <w:tr>
        <w:trPr>
          <w:cantSplit/>
        </w:trPr>
        <w:tc>
          <w:tcPr>
            <w:tcW w:type="dxa" w:w="4032"/>
            <w:vAlign w:val="center"/>
            <w:shd w:fill="F1F5F6"/>
            <w:tcMar>
              <w:top w:w="80" w:type="dxa"/>
              <w:bottom w:w="80" w:type="dxa"/>
              <w:left w:w="80" w:type="dxa"/>
              <w:right w:w="80" w:type="dxa"/>
            </w:tcMar>
          </w:tcPr>
          <w:p>
            <w:pPr>
              <w:spacing w:after="40" w:before="40" w:line="252" w:lineRule="auto"/>
              <w:jc w:val="left"/>
            </w:pPr>
            <w:r>
              <w:rPr>
                <w:b w:val="0"/>
                <w:color w:val="000000"/>
                <w:sz w:val="18"/>
              </w:rPr>
              <w:t>results/legacy_artifact_audit.json</w:t>
            </w:r>
          </w:p>
        </w:tc>
        <w:tc>
          <w:tcPr>
            <w:tcW w:type="dxa" w:w="5544"/>
            <w:vAlign w:val="center"/>
            <w:shd w:fill="F1F5F6"/>
            <w:tcMar>
              <w:top w:w="80" w:type="dxa"/>
              <w:bottom w:w="80" w:type="dxa"/>
              <w:left w:w="80" w:type="dxa"/>
              <w:right w:w="80" w:type="dxa"/>
            </w:tcMar>
          </w:tcPr>
          <w:p>
            <w:pPr>
              <w:spacing w:after="40" w:before="40" w:line="252" w:lineRule="auto"/>
              <w:jc w:val="center"/>
            </w:pPr>
            <w:r>
              <w:rPr>
                <w:b w:val="0"/>
                <w:color w:val="000000"/>
                <w:sz w:val="18"/>
              </w:rPr>
              <w:t>Read-only evaluation of six historical trained artifacts</w:t>
            </w:r>
          </w:p>
        </w:tc>
      </w:tr>
      <w:tr>
        <w:trPr>
          <w:cantSplit/>
        </w:trPr>
        <w:tc>
          <w:tcPr>
            <w:tcW w:type="dxa" w:w="4032"/>
            <w:vAlign w:val="center"/>
            <w:shd w:fill="FFFFFF"/>
            <w:tcMar>
              <w:top w:w="80" w:type="dxa"/>
              <w:bottom w:w="80" w:type="dxa"/>
              <w:left w:w="80" w:type="dxa"/>
              <w:right w:w="80" w:type="dxa"/>
            </w:tcMar>
          </w:tcPr>
          <w:p>
            <w:pPr>
              <w:spacing w:after="40" w:before="40" w:line="252" w:lineRule="auto"/>
              <w:jc w:val="left"/>
            </w:pPr>
            <w:r>
              <w:rPr>
                <w:b w:val="0"/>
                <w:color w:val="000000"/>
                <w:sz w:val="18"/>
              </w:rPr>
              <w:t>results/browser_parity.json</w:t>
            </w:r>
          </w:p>
        </w:tc>
        <w:tc>
          <w:tcPr>
            <w:tcW w:type="dxa" w:w="5544"/>
            <w:vAlign w:val="center"/>
            <w:shd w:fill="FFFFFF"/>
            <w:tcMar>
              <w:top w:w="80" w:type="dxa"/>
              <w:bottom w:w="80" w:type="dxa"/>
              <w:left w:w="80" w:type="dxa"/>
              <w:right w:w="80" w:type="dxa"/>
            </w:tcMar>
          </w:tcPr>
          <w:p>
            <w:pPr>
              <w:spacing w:after="40" w:before="40" w:line="252" w:lineRule="auto"/>
              <w:jc w:val="center"/>
            </w:pPr>
            <w:r>
              <w:rPr>
                <w:b w:val="0"/>
                <w:color w:val="000000"/>
                <w:sz w:val="18"/>
              </w:rPr>
              <w:t>Browser and Python score consistency evidence</w:t>
            </w:r>
          </w:p>
        </w:tc>
      </w:tr>
      <w:tr>
        <w:trPr>
          <w:cantSplit/>
        </w:trPr>
        <w:tc>
          <w:tcPr>
            <w:tcW w:type="dxa" w:w="4032"/>
            <w:vAlign w:val="center"/>
            <w:shd w:fill="F1F5F6"/>
            <w:tcMar>
              <w:top w:w="80" w:type="dxa"/>
              <w:bottom w:w="80" w:type="dxa"/>
              <w:left w:w="80" w:type="dxa"/>
              <w:right w:w="80" w:type="dxa"/>
            </w:tcMar>
          </w:tcPr>
          <w:p>
            <w:pPr>
              <w:spacing w:after="40" w:before="40" w:line="252" w:lineRule="auto"/>
              <w:jc w:val="left"/>
            </w:pPr>
            <w:r>
              <w:rPr>
                <w:b w:val="0"/>
                <w:color w:val="000000"/>
                <w:sz w:val="18"/>
              </w:rPr>
              <w:t>results/verification.json</w:t>
            </w:r>
          </w:p>
        </w:tc>
        <w:tc>
          <w:tcPr>
            <w:tcW w:type="dxa" w:w="5544"/>
            <w:vAlign w:val="center"/>
            <w:shd w:fill="F1F5F6"/>
            <w:tcMar>
              <w:top w:w="80" w:type="dxa"/>
              <w:bottom w:w="80" w:type="dxa"/>
              <w:left w:w="80" w:type="dxa"/>
              <w:right w:w="80" w:type="dxa"/>
            </w:tcMar>
          </w:tcPr>
          <w:p>
            <w:pPr>
              <w:spacing w:after="40" w:before="40" w:line="252" w:lineRule="auto"/>
              <w:jc w:val="center"/>
            </w:pPr>
            <w:r>
              <w:rPr>
                <w:b w:val="0"/>
                <w:color w:val="000000"/>
                <w:sz w:val="18"/>
              </w:rPr>
              <w:t>Metric formulas and API checks</w:t>
            </w:r>
          </w:p>
        </w:tc>
      </w:tr>
      <w:tr>
        <w:trPr>
          <w:cantSplit/>
        </w:trPr>
        <w:tc>
          <w:tcPr>
            <w:tcW w:type="dxa" w:w="4032"/>
            <w:vAlign w:val="center"/>
            <w:shd w:fill="FFFFFF"/>
            <w:tcMar>
              <w:top w:w="80" w:type="dxa"/>
              <w:bottom w:w="80" w:type="dxa"/>
              <w:left w:w="80" w:type="dxa"/>
              <w:right w:w="80" w:type="dxa"/>
            </w:tcMar>
          </w:tcPr>
          <w:p>
            <w:pPr>
              <w:spacing w:after="40" w:before="40" w:line="252" w:lineRule="auto"/>
              <w:jc w:val="left"/>
            </w:pPr>
            <w:r>
              <w:rPr>
                <w:b w:val="0"/>
                <w:color w:val="000000"/>
                <w:sz w:val="18"/>
              </w:rPr>
              <w:t>website/dist/</w:t>
            </w:r>
          </w:p>
        </w:tc>
        <w:tc>
          <w:tcPr>
            <w:tcW w:type="dxa" w:w="5544"/>
            <w:vAlign w:val="center"/>
            <w:shd w:fill="FFFFFF"/>
            <w:tcMar>
              <w:top w:w="80" w:type="dxa"/>
              <w:bottom w:w="80" w:type="dxa"/>
              <w:left w:w="80" w:type="dxa"/>
              <w:right w:w="80" w:type="dxa"/>
            </w:tcMar>
          </w:tcPr>
          <w:p>
            <w:pPr>
              <w:spacing w:after="40" w:before="40" w:line="252" w:lineRule="auto"/>
              <w:jc w:val="center"/>
            </w:pPr>
            <w:r>
              <w:rPr>
                <w:b w:val="0"/>
                <w:color w:val="000000"/>
                <w:sz w:val="18"/>
              </w:rPr>
              <w:t>Portable static model laboratory and parameter JSON</w:t>
            </w:r>
          </w:p>
        </w:tc>
      </w:tr>
      <w:tr>
        <w:trPr>
          <w:cantSplit/>
        </w:trPr>
        <w:tc>
          <w:tcPr>
            <w:tcW w:type="dxa" w:w="4032"/>
            <w:vAlign w:val="center"/>
            <w:shd w:fill="F1F5F6"/>
            <w:tcMar>
              <w:top w:w="80" w:type="dxa"/>
              <w:bottom w:w="80" w:type="dxa"/>
              <w:left w:w="80" w:type="dxa"/>
              <w:right w:w="80" w:type="dxa"/>
            </w:tcMar>
          </w:tcPr>
          <w:p>
            <w:pPr>
              <w:spacing w:after="40" w:before="40" w:line="252" w:lineRule="auto"/>
              <w:jc w:val="left"/>
            </w:pPr>
            <w:r>
              <w:rPr>
                <w:b w:val="0"/>
                <w:color w:val="000000"/>
                <w:sz w:val="18"/>
              </w:rPr>
              <w:t>deliverables/</w:t>
            </w:r>
          </w:p>
        </w:tc>
        <w:tc>
          <w:tcPr>
            <w:tcW w:type="dxa" w:w="5544"/>
            <w:vAlign w:val="center"/>
            <w:shd w:fill="F1F5F6"/>
            <w:tcMar>
              <w:top w:w="80" w:type="dxa"/>
              <w:bottom w:w="80" w:type="dxa"/>
              <w:left w:w="80" w:type="dxa"/>
              <w:right w:w="80" w:type="dxa"/>
            </w:tcMar>
          </w:tcPr>
          <w:p>
            <w:pPr>
              <w:spacing w:after="40" w:before="40" w:line="252" w:lineRule="auto"/>
              <w:jc w:val="center"/>
            </w:pPr>
            <w:r>
              <w:rPr>
                <w:b w:val="0"/>
                <w:color w:val="000000"/>
                <w:sz w:val="18"/>
              </w:rPr>
              <w:t>Research manuscript, report and PowerPoint presentation</w:t>
            </w:r>
          </w:p>
        </w:tc>
      </w:tr>
    </w:tbl>
    <w:p>
      <w:pPr>
        <w:widowControl/>
        <w:spacing w:after="0"/>
      </w:pPr>
    </w:p>
    <w:p>
      <w:pPr>
        <w:widowControl/>
      </w:pPr>
      <w:r>
        <w:t>The source workbook and reference documents remain intact. The new submission pipeline resolves paths from its own location, so it does not rely on the old project/ directory used in several historical scripts. The website package contains only Approach 1 and Approach 2 model functions and experiment results.</w:t>
      </w:r>
    </w:p>
    <w:p>
      <w:pPr>
        <w:pStyle w:val="Heading2"/>
      </w:pPr>
      <w:r>
        <w:t>13 1 Next research work</w:t>
      </w:r>
    </w:p>
    <w:p>
      <w:pPr>
        <w:widowControl/>
      </w:pPr>
      <w:r>
        <w:t>Document data origin, informed field timing and the label-adjudication process. Determine whether Cluster or any numerical feature was constructed using target information. Evaluate new claims collected independently of this workbook. Add repeated training and uncertainty over model fitting. Calibrate scores using a dedicated cohort and set review thresholds using explicit workload and error costs. Assess demographic subgroup performance only with adequate sample sizes and an agreed evaluation purpose.</w:t>
      </w:r>
    </w:p>
    <w:p>
      <w:pPr>
        <w:widowControl/>
      </w:pPr>
      <w:r>
        <w:t>The completed submission supports a reproducible model comparison and demonstration. The strong amount dependence, small positive test counts and unknown source provenance prevent a claim of production readiness for insurer decision making.</w:t>
      </w:r>
    </w:p>
    <w:p>
      <w:pPr>
        <w:pStyle w:val="Heading1"/>
        <w:pageBreakBefore/>
      </w:pPr>
      <w:r>
        <w:t>References and runtime record</w:t>
      </w:r>
    </w:p>
    <w:p>
      <w:pPr>
        <w:widowControl/>
        <w:jc w:val="left"/>
      </w:pPr>
      <w:r>
        <w:rPr>
          <w:sz w:val="18"/>
        </w:rPr>
        <w:t>[1] Project dataset. Health Insurance Fraud Claims.xlsx. Repository workbook, 4,500 records and 19 columns. Source origin, collection protocol and currency are undocumented. SHA-256 952b6e23c9845b9086994c08bc81323575968c318f845ea69e3b9609614b6a45.</w:t>
      </w:r>
    </w:p>
    <w:p>
      <w:pPr>
        <w:widowControl/>
        <w:jc w:val="left"/>
      </w:pPr>
      <w:r>
        <w:rPr>
          <w:sz w:val="18"/>
        </w:rPr>
        <w:t>[2] Scikit learn. Average precision score. https://scikit-learn.org/stable/modules/generated/sklearn.metrics.average_precision_score.html Accessed 20 October 2026.</w:t>
      </w:r>
    </w:p>
    <w:p>
      <w:pPr>
        <w:widowControl/>
        <w:jc w:val="left"/>
      </w:pPr>
      <w:r>
        <w:rPr>
          <w:sz w:val="18"/>
        </w:rPr>
        <w:t>[3] Scikit learn. Metrics and scoring. https://scikit-learn.org/stable/modules/model_evaluation.html Accessed 20 October 2026.</w:t>
      </w:r>
    </w:p>
    <w:p>
      <w:pPr>
        <w:widowControl/>
        <w:jc w:val="left"/>
      </w:pPr>
      <w:r>
        <w:rPr>
          <w:sz w:val="18"/>
        </w:rPr>
        <w:t>[4] Scikit learn. Common pitfalls and recommended practices. https://scikit-learn.org/stable/common_pitfalls.html Accessed 20 October 2026.</w:t>
      </w:r>
    </w:p>
    <w:p>
      <w:pPr>
        <w:widowControl/>
        <w:jc w:val="left"/>
      </w:pPr>
      <w:r>
        <w:rPr>
          <w:sz w:val="18"/>
        </w:rPr>
        <w:t>[5] PyTorch. BCEWithLogitsLoss. https://docs.pytorch.org/docs/stable/generated/torch.nn.BCEWithLogitsLoss.html Accessed 20 October 2026.</w:t>
      </w:r>
    </w:p>
    <w:p>
      <w:pPr>
        <w:widowControl/>
        <w:jc w:val="left"/>
      </w:pPr>
      <w:r>
        <w:rPr>
          <w:sz w:val="18"/>
        </w:rPr>
        <w:t>[6] Gorishniy and colleagues. Y. Gorishniy, I. Rubachev, V. Khrulkov and A. Babenko. Revisiting Deep Learning Models for Tabular Data. NeurIPS 34, 2021. https://proceedings.neurips.cc/paper_files/paper/2021/hash/9d86d83f925f2149e9edb0ac3b49229c-Abstract.html</w:t>
      </w:r>
    </w:p>
    <w:p>
      <w:pPr>
        <w:widowControl/>
        <w:jc w:val="left"/>
      </w:pPr>
      <w:r>
        <w:rPr>
          <w:sz w:val="18"/>
        </w:rPr>
        <w:t>[7] Experiment artifacts. submission/results/metrics.csv, predictions.csv, dataset_audit.json, selection.json, browser_parity.json and run_manifest.json. Reproducible internal experiment, 20 October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5976"/>
      </w:tblGrid>
      <w:tr>
        <w:trPr>
          <w:tblHeader/>
          <w:cantSplit/>
        </w:trPr>
        <w:tc>
          <w:tcPr>
            <w:tcW w:type="dxa" w:w="3600"/>
            <w:vAlign w:val="center"/>
            <w:shd w:fill="183B4A"/>
            <w:tcMar>
              <w:top w:w="80" w:type="dxa"/>
              <w:bottom w:w="80" w:type="dxa"/>
              <w:left w:w="80" w:type="dxa"/>
              <w:right w:w="80" w:type="dxa"/>
            </w:tcMar>
          </w:tcPr>
          <w:p>
            <w:pPr>
              <w:spacing w:after="40" w:before="40" w:line="252" w:lineRule="auto"/>
              <w:jc w:val="left"/>
            </w:pPr>
            <w:r>
              <w:rPr>
                <w:b/>
                <w:color w:val="FFFFFF"/>
                <w:sz w:val="18"/>
              </w:rPr>
              <w:t>Runtime component</w:t>
            </w:r>
          </w:p>
        </w:tc>
        <w:tc>
          <w:tcPr>
            <w:tcW w:type="dxa" w:w="5976"/>
            <w:vAlign w:val="center"/>
            <w:shd w:fill="183B4A"/>
            <w:tcMar>
              <w:top w:w="80" w:type="dxa"/>
              <w:bottom w:w="80" w:type="dxa"/>
              <w:left w:w="80" w:type="dxa"/>
              <w:right w:w="80" w:type="dxa"/>
            </w:tcMar>
          </w:tcPr>
          <w:p>
            <w:pPr>
              <w:spacing w:after="40" w:before="40" w:line="252" w:lineRule="auto"/>
              <w:jc w:val="center"/>
            </w:pPr>
            <w:r>
              <w:rPr>
                <w:b/>
                <w:color w:val="FFFFFF"/>
                <w:sz w:val="18"/>
              </w:rPr>
              <w:t>Measured version</w:t>
            </w:r>
          </w:p>
        </w:tc>
      </w:tr>
      <w:tr>
        <w:trPr>
          <w:cantSplit/>
        </w:trPr>
        <w:tc>
          <w:tcPr>
            <w:tcW w:type="dxa" w:w="3600"/>
            <w:vAlign w:val="center"/>
            <w:shd w:fill="FFFFFF"/>
            <w:tcMar>
              <w:top w:w="80" w:type="dxa"/>
              <w:bottom w:w="80" w:type="dxa"/>
              <w:left w:w="80" w:type="dxa"/>
              <w:right w:w="80" w:type="dxa"/>
            </w:tcMar>
          </w:tcPr>
          <w:p>
            <w:pPr>
              <w:spacing w:after="40" w:before="40" w:line="252" w:lineRule="auto"/>
              <w:jc w:val="left"/>
            </w:pPr>
            <w:r>
              <w:rPr>
                <w:b w:val="0"/>
                <w:color w:val="000000"/>
                <w:sz w:val="18"/>
              </w:rPr>
              <w:t>Python</w:t>
            </w:r>
          </w:p>
        </w:tc>
        <w:tc>
          <w:tcPr>
            <w:tcW w:type="dxa" w:w="5976"/>
            <w:vAlign w:val="center"/>
            <w:shd w:fill="FFFFFF"/>
            <w:tcMar>
              <w:top w:w="80" w:type="dxa"/>
              <w:bottom w:w="80" w:type="dxa"/>
              <w:left w:w="80" w:type="dxa"/>
              <w:right w:w="80" w:type="dxa"/>
            </w:tcMar>
          </w:tcPr>
          <w:p>
            <w:pPr>
              <w:spacing w:after="40" w:before="40" w:line="252" w:lineRule="auto"/>
              <w:jc w:val="center"/>
            </w:pPr>
            <w:r>
              <w:rPr>
                <w:b w:val="0"/>
                <w:color w:val="000000"/>
                <w:sz w:val="18"/>
              </w:rPr>
              <w:t>3.12.14</w:t>
            </w:r>
          </w:p>
        </w:tc>
      </w:tr>
      <w:tr>
        <w:trPr>
          <w:cantSplit/>
        </w:trPr>
        <w:tc>
          <w:tcPr>
            <w:tcW w:type="dxa" w:w="3600"/>
            <w:vAlign w:val="center"/>
            <w:shd w:fill="F1F5F6"/>
            <w:tcMar>
              <w:top w:w="80" w:type="dxa"/>
              <w:bottom w:w="80" w:type="dxa"/>
              <w:left w:w="80" w:type="dxa"/>
              <w:right w:w="80" w:type="dxa"/>
            </w:tcMar>
          </w:tcPr>
          <w:p>
            <w:pPr>
              <w:spacing w:after="40" w:before="40" w:line="252" w:lineRule="auto"/>
              <w:jc w:val="left"/>
            </w:pPr>
            <w:r>
              <w:rPr>
                <w:b w:val="0"/>
                <w:color w:val="000000"/>
                <w:sz w:val="18"/>
              </w:rPr>
              <w:t>numpy</w:t>
            </w:r>
          </w:p>
        </w:tc>
        <w:tc>
          <w:tcPr>
            <w:tcW w:type="dxa" w:w="5976"/>
            <w:vAlign w:val="center"/>
            <w:shd w:fill="F1F5F6"/>
            <w:tcMar>
              <w:top w:w="80" w:type="dxa"/>
              <w:bottom w:w="80" w:type="dxa"/>
              <w:left w:w="80" w:type="dxa"/>
              <w:right w:w="80" w:type="dxa"/>
            </w:tcMar>
          </w:tcPr>
          <w:p>
            <w:pPr>
              <w:spacing w:after="40" w:before="40" w:line="252" w:lineRule="auto"/>
              <w:jc w:val="center"/>
            </w:pPr>
            <w:r>
              <w:rPr>
                <w:b w:val="0"/>
                <w:color w:val="000000"/>
                <w:sz w:val="18"/>
              </w:rPr>
              <w:t>2.5.4</w:t>
            </w:r>
          </w:p>
        </w:tc>
      </w:tr>
      <w:tr>
        <w:trPr>
          <w:cantSplit/>
        </w:trPr>
        <w:tc>
          <w:tcPr>
            <w:tcW w:type="dxa" w:w="3600"/>
            <w:vAlign w:val="center"/>
            <w:shd w:fill="FFFFFF"/>
            <w:tcMar>
              <w:top w:w="80" w:type="dxa"/>
              <w:bottom w:w="80" w:type="dxa"/>
              <w:left w:w="80" w:type="dxa"/>
              <w:right w:w="80" w:type="dxa"/>
            </w:tcMar>
          </w:tcPr>
          <w:p>
            <w:pPr>
              <w:spacing w:after="40" w:before="40" w:line="252" w:lineRule="auto"/>
              <w:jc w:val="left"/>
            </w:pPr>
            <w:r>
              <w:rPr>
                <w:b w:val="0"/>
                <w:color w:val="000000"/>
                <w:sz w:val="18"/>
              </w:rPr>
              <w:t>pandas</w:t>
            </w:r>
          </w:p>
        </w:tc>
        <w:tc>
          <w:tcPr>
            <w:tcW w:type="dxa" w:w="5976"/>
            <w:vAlign w:val="center"/>
            <w:shd w:fill="FFFFFF"/>
            <w:tcMar>
              <w:top w:w="80" w:type="dxa"/>
              <w:bottom w:w="80" w:type="dxa"/>
              <w:left w:w="80" w:type="dxa"/>
              <w:right w:w="80" w:type="dxa"/>
            </w:tcMar>
          </w:tcPr>
          <w:p>
            <w:pPr>
              <w:spacing w:after="40" w:before="40" w:line="252" w:lineRule="auto"/>
              <w:jc w:val="center"/>
            </w:pPr>
            <w:r>
              <w:rPr>
                <w:b w:val="0"/>
                <w:color w:val="000000"/>
                <w:sz w:val="18"/>
              </w:rPr>
              <w:t>3.0.6</w:t>
            </w:r>
          </w:p>
        </w:tc>
      </w:tr>
      <w:tr>
        <w:trPr>
          <w:cantSplit/>
        </w:trPr>
        <w:tc>
          <w:tcPr>
            <w:tcW w:type="dxa" w:w="3600"/>
            <w:vAlign w:val="center"/>
            <w:shd w:fill="F1F5F6"/>
            <w:tcMar>
              <w:top w:w="80" w:type="dxa"/>
              <w:bottom w:w="80" w:type="dxa"/>
              <w:left w:w="80" w:type="dxa"/>
              <w:right w:w="80" w:type="dxa"/>
            </w:tcMar>
          </w:tcPr>
          <w:p>
            <w:pPr>
              <w:spacing w:after="40" w:before="40" w:line="252" w:lineRule="auto"/>
              <w:jc w:val="left"/>
            </w:pPr>
            <w:r>
              <w:rPr>
                <w:b w:val="0"/>
                <w:color w:val="000000"/>
                <w:sz w:val="18"/>
              </w:rPr>
              <w:t>scikit-learn</w:t>
            </w:r>
          </w:p>
        </w:tc>
        <w:tc>
          <w:tcPr>
            <w:tcW w:type="dxa" w:w="5976"/>
            <w:vAlign w:val="center"/>
            <w:shd w:fill="F1F5F6"/>
            <w:tcMar>
              <w:top w:w="80" w:type="dxa"/>
              <w:bottom w:w="80" w:type="dxa"/>
              <w:left w:w="80" w:type="dxa"/>
              <w:right w:w="80" w:type="dxa"/>
            </w:tcMar>
          </w:tcPr>
          <w:p>
            <w:pPr>
              <w:spacing w:after="40" w:before="40" w:line="252" w:lineRule="auto"/>
              <w:jc w:val="center"/>
            </w:pPr>
            <w:r>
              <w:rPr>
                <w:b w:val="0"/>
                <w:color w:val="000000"/>
                <w:sz w:val="18"/>
              </w:rPr>
              <w:t>1.9.1</w:t>
            </w:r>
          </w:p>
        </w:tc>
      </w:tr>
      <w:tr>
        <w:trPr>
          <w:cantSplit/>
        </w:trPr>
        <w:tc>
          <w:tcPr>
            <w:tcW w:type="dxa" w:w="3600"/>
            <w:vAlign w:val="center"/>
            <w:shd w:fill="FFFFFF"/>
            <w:tcMar>
              <w:top w:w="80" w:type="dxa"/>
              <w:bottom w:w="80" w:type="dxa"/>
              <w:left w:w="80" w:type="dxa"/>
              <w:right w:w="80" w:type="dxa"/>
            </w:tcMar>
          </w:tcPr>
          <w:p>
            <w:pPr>
              <w:spacing w:after="40" w:before="40" w:line="252" w:lineRule="auto"/>
              <w:jc w:val="left"/>
            </w:pPr>
            <w:r>
              <w:rPr>
                <w:b w:val="0"/>
                <w:color w:val="000000"/>
                <w:sz w:val="18"/>
              </w:rPr>
              <w:t>xgboost</w:t>
            </w:r>
          </w:p>
        </w:tc>
        <w:tc>
          <w:tcPr>
            <w:tcW w:type="dxa" w:w="5976"/>
            <w:vAlign w:val="center"/>
            <w:shd w:fill="FFFFFF"/>
            <w:tcMar>
              <w:top w:w="80" w:type="dxa"/>
              <w:bottom w:w="80" w:type="dxa"/>
              <w:left w:w="80" w:type="dxa"/>
              <w:right w:w="80" w:type="dxa"/>
            </w:tcMar>
          </w:tcPr>
          <w:p>
            <w:pPr>
              <w:spacing w:after="40" w:before="40" w:line="252" w:lineRule="auto"/>
              <w:jc w:val="center"/>
            </w:pPr>
            <w:r>
              <w:rPr>
                <w:b w:val="0"/>
                <w:color w:val="000000"/>
                <w:sz w:val="18"/>
              </w:rPr>
              <w:t>3.4.1</w:t>
            </w:r>
          </w:p>
        </w:tc>
      </w:tr>
      <w:tr>
        <w:trPr>
          <w:cantSplit/>
        </w:trPr>
        <w:tc>
          <w:tcPr>
            <w:tcW w:type="dxa" w:w="3600"/>
            <w:vAlign w:val="center"/>
            <w:shd w:fill="F1F5F6"/>
            <w:tcMar>
              <w:top w:w="80" w:type="dxa"/>
              <w:bottom w:w="80" w:type="dxa"/>
              <w:left w:w="80" w:type="dxa"/>
              <w:right w:w="80" w:type="dxa"/>
            </w:tcMar>
          </w:tcPr>
          <w:p>
            <w:pPr>
              <w:spacing w:after="40" w:before="40" w:line="252" w:lineRule="auto"/>
              <w:jc w:val="left"/>
            </w:pPr>
            <w:r>
              <w:rPr>
                <w:b w:val="0"/>
                <w:color w:val="000000"/>
                <w:sz w:val="18"/>
              </w:rPr>
              <w:t>torch</w:t>
            </w:r>
          </w:p>
        </w:tc>
        <w:tc>
          <w:tcPr>
            <w:tcW w:type="dxa" w:w="5976"/>
            <w:vAlign w:val="center"/>
            <w:shd w:fill="F1F5F6"/>
            <w:tcMar>
              <w:top w:w="80" w:type="dxa"/>
              <w:bottom w:w="80" w:type="dxa"/>
              <w:left w:w="80" w:type="dxa"/>
              <w:right w:w="80" w:type="dxa"/>
            </w:tcMar>
          </w:tcPr>
          <w:p>
            <w:pPr>
              <w:spacing w:after="40" w:before="40" w:line="252" w:lineRule="auto"/>
              <w:jc w:val="center"/>
            </w:pPr>
            <w:r>
              <w:rPr>
                <w:b w:val="0"/>
                <w:color w:val="000000"/>
                <w:sz w:val="18"/>
              </w:rPr>
              <w:t>2.14.1+cpu</w:t>
            </w:r>
          </w:p>
        </w:tc>
      </w:tr>
      <w:tr>
        <w:trPr>
          <w:cantSplit/>
        </w:trPr>
        <w:tc>
          <w:tcPr>
            <w:tcW w:type="dxa" w:w="3600"/>
            <w:vAlign w:val="center"/>
            <w:shd w:fill="FFFFFF"/>
            <w:tcMar>
              <w:top w:w="80" w:type="dxa"/>
              <w:bottom w:w="80" w:type="dxa"/>
              <w:left w:w="80" w:type="dxa"/>
              <w:right w:w="80" w:type="dxa"/>
            </w:tcMar>
          </w:tcPr>
          <w:p>
            <w:pPr>
              <w:spacing w:after="40" w:before="40" w:line="252" w:lineRule="auto"/>
              <w:jc w:val="left"/>
            </w:pPr>
            <w:r>
              <w:rPr>
                <w:b w:val="0"/>
                <w:color w:val="000000"/>
                <w:sz w:val="18"/>
              </w:rPr>
              <w:t>joblib</w:t>
            </w:r>
          </w:p>
        </w:tc>
        <w:tc>
          <w:tcPr>
            <w:tcW w:type="dxa" w:w="5976"/>
            <w:vAlign w:val="center"/>
            <w:shd w:fill="FFFFFF"/>
            <w:tcMar>
              <w:top w:w="80" w:type="dxa"/>
              <w:bottom w:w="80" w:type="dxa"/>
              <w:left w:w="80" w:type="dxa"/>
              <w:right w:w="80" w:type="dxa"/>
            </w:tcMar>
          </w:tcPr>
          <w:p>
            <w:pPr>
              <w:spacing w:after="40" w:before="40" w:line="252" w:lineRule="auto"/>
              <w:jc w:val="center"/>
            </w:pPr>
            <w:r>
              <w:rPr>
                <w:b w:val="0"/>
                <w:color w:val="000000"/>
                <w:sz w:val="18"/>
              </w:rPr>
              <w:t>1.6.0</w:t>
            </w:r>
          </w:p>
        </w:tc>
      </w:tr>
    </w:tbl>
    <w:p>
      <w:pPr>
        <w:widowControl/>
        <w:spacing w:after="0"/>
      </w:pPr>
    </w:p>
    <w:p>
      <w:pPr>
        <w:widowControl/>
      </w:pPr>
      <w:r>
        <w:t>The final full training run took 63.88 seconds on the local CPU environment. This is an observed run duration, not a hardware-independent speed claim. Random seed is 42. Bootstrap seed is 2026.</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9" w:lineRule="auto"/>
      <w:outlineLvl w:val="0"/>
    </w:pPr>
    <w:rPr>
      <w:rFonts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jc w:val="left"/>
    </w:pPr>
    <w:rPr>
      <w:rFonts w:ascii="Calibri" w:hAnsi="Calibri"/>
      <w:b/>
      <w:color w:val="000000"/>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jc w:val="left"/>
    </w:pPr>
    <w:rPr>
      <w:rFonts w:ascii="Calibri" w:hAnsi="Calibri"/>
      <w:i w:val="0"/>
      <w:iCs/>
      <w:color w:val="00000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Insurance Claim Fraud Detection</dc:title>
  <dc:subject>Approach 1 and Approach 2</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