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Classical and Neural Models for Medical Insurance Claim Fraud Detection</w:t>
      </w:r>
    </w:p>
    <w:p>
      <w:pPr>
        <w:pStyle w:val="Subtitle"/>
        <w:widowControl/>
      </w:pPr>
      <w:r>
        <w:t>A comparative study of Approach 1 and Approach 2</w:t>
      </w:r>
    </w:p>
    <w:p>
      <w:pPr>
        <w:widowControl/>
      </w:pPr>
      <w:r>
        <w:t>20 October 2026</w:t>
      </w:r>
    </w:p>
    <w:p>
      <w:pPr>
        <w:pStyle w:val="Heading1"/>
      </w:pPr>
      <w:r>
        <w:t>Abstract</w:t>
      </w:r>
    </w:p>
    <w:p>
      <w:pPr>
        <w:widowControl/>
      </w:pPr>
      <w:r>
        <w:t>This study compares five classical classifiers and three neural architectures for binary fraud detection on a repository workbook of 4,500 insurance claims, including 270 fraud labels. Approach 1 evaluates Logistic Regression, Random Forest, XGBoost, SVM and histogram Gradient Boosting. Approach 2 evaluates MLP, Residual MLP and 1D CNN. A shared stratified 70/15/15 split supports direct comparison. The protocol excludes post-adjudication status and identifiers, fits preprocessing only on training data and chooses decision thresholds using validation F1. An intake variant removes an unexplained Cluster field. Intake Random Forest achieves test average precision 1.0000 and F1 0.9873, with 39 true positives, one false negative and no false positives. However, removing both Cluster and claim amount reduces average precision to 0.2066 for that model. A chronological evaluation and a model-testing website complete the comparison. The evidence supports an internal benchmark demonstration and identifies substantial dependence on amount-related patterns. External validity remains unresolved.</w:t>
      </w:r>
    </w:p>
    <w:p>
      <w:pPr>
        <w:widowControl/>
      </w:pPr>
      <w:r>
        <w:t>Keywords: insurance claims, fraud classification, imbalanced data, classical machine learning, deep learning, average precision.</w:t>
      </w:r>
    </w:p>
    <w:p>
      <w:pPr>
        <w:pStyle w:val="Heading1"/>
      </w:pPr>
      <w:r>
        <w:t>1 Introduction</w:t>
      </w:r>
    </w:p>
    <w:p>
      <w:pPr>
        <w:widowControl/>
      </w:pPr>
      <w:r>
        <w:t>A fraud classifier can prioritize claims for human review by assigning scores to structured intake information. The useful comparison is whether a model separates rare fraud labels from legitimate claims while keeping the review workload manageable. Accuracy alone can obscure that distinction: predicting every claim as legitimate gives 94.00% accuracy and zero fraud recall in this workbook.</w:t>
      </w:r>
    </w:p>
    <w:p>
      <w:pPr>
        <w:widowControl/>
      </w:pPr>
      <w:r>
        <w:t>The study addresses two questions within the existing project: how five classical methods compare with three neural architectures on identical partitions, and how sensitive the results are to uncertain dataset fields. It also connects the fitted models to a reproducible website demonstration. The contribution is a controlled evaluation and a functioning demonstration, rather than a new algorithm or evidence of performance on independent insurance operations.</w:t>
      </w:r>
    </w:p>
    <w:p>
      <w:pPr>
        <w:pStyle w:val="Heading1"/>
        <w:pageBreakBefore/>
      </w:pPr>
      <w:r>
        <w:t>2 Dataset and experimental design</w:t>
      </w:r>
    </w:p>
    <w:p>
      <w:pPr>
        <w:widowControl/>
      </w:pPr>
      <w:r>
        <w:t>The workbook contains 19 columns, no empty cells and no duplicate complete rows [1]. Claim dates span 9 July 2022 to 8 July 2024. The identifiers ClaimID, PatientID and ProviderID are unique in every row. DiagnosisCode and ProcedureCode each have 4,495 unique values. Such fields provide little reusable signal in a small benchmark and are excluded along with ProviderLocation.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1944"/>
        <w:gridCol w:w="1944"/>
        <w:gridCol w:w="1944"/>
      </w:tblGrid>
      <w:tr>
        <w:trPr>
          <w:tblHeader/>
          <w:cantSplit/>
        </w:trPr>
        <w:tc>
          <w:tcPr>
            <w:tcW w:type="dxa" w:w="2376"/>
            <w:vAlign w:val="center"/>
            <w:shd w:fill="183B4A"/>
            <w:tcMar>
              <w:top w:w="80" w:type="dxa"/>
              <w:bottom w:w="80" w:type="dxa"/>
              <w:left w:w="80" w:type="dxa"/>
              <w:right w:w="80" w:type="dxa"/>
            </w:tcMar>
          </w:tcPr>
          <w:p>
            <w:pPr>
              <w:spacing w:after="40" w:before="40" w:line="252" w:lineRule="auto"/>
              <w:jc w:val="left"/>
            </w:pPr>
            <w:r>
              <w:rPr>
                <w:b/>
                <w:color w:val="FFFFFF"/>
                <w:sz w:val="18"/>
              </w:rPr>
              <w:t>Partition</w:t>
            </w:r>
          </w:p>
        </w:tc>
        <w:tc>
          <w:tcPr>
            <w:tcW w:type="dxa" w:w="1944"/>
            <w:vAlign w:val="center"/>
            <w:shd w:fill="183B4A"/>
            <w:tcMar>
              <w:top w:w="80" w:type="dxa"/>
              <w:bottom w:w="80" w:type="dxa"/>
              <w:left w:w="80" w:type="dxa"/>
              <w:right w:w="80" w:type="dxa"/>
            </w:tcMar>
          </w:tcPr>
          <w:p>
            <w:pPr>
              <w:spacing w:after="40" w:before="40" w:line="252" w:lineRule="auto"/>
              <w:jc w:val="center"/>
            </w:pPr>
            <w:r>
              <w:rPr>
                <w:b/>
                <w:color w:val="FFFFFF"/>
                <w:sz w:val="18"/>
              </w:rPr>
              <w:t>Claims</w:t>
            </w:r>
          </w:p>
        </w:tc>
        <w:tc>
          <w:tcPr>
            <w:tcW w:type="dxa" w:w="1944"/>
            <w:vAlign w:val="center"/>
            <w:shd w:fill="183B4A"/>
            <w:tcMar>
              <w:top w:w="80" w:type="dxa"/>
              <w:bottom w:w="80" w:type="dxa"/>
              <w:left w:w="80" w:type="dxa"/>
              <w:right w:w="80" w:type="dxa"/>
            </w:tcMar>
          </w:tcPr>
          <w:p>
            <w:pPr>
              <w:spacing w:after="40" w:before="40" w:line="252" w:lineRule="auto"/>
              <w:jc w:val="center"/>
            </w:pPr>
            <w:r>
              <w:rPr>
                <w:b/>
                <w:color w:val="FFFFFF"/>
                <w:sz w:val="18"/>
              </w:rPr>
              <w:t>Fraud</w:t>
            </w:r>
          </w:p>
        </w:tc>
        <w:tc>
          <w:tcPr>
            <w:tcW w:type="dxa" w:w="1944"/>
            <w:vAlign w:val="center"/>
            <w:shd w:fill="183B4A"/>
            <w:tcMar>
              <w:top w:w="80" w:type="dxa"/>
              <w:bottom w:w="80" w:type="dxa"/>
              <w:left w:w="80" w:type="dxa"/>
              <w:right w:w="80" w:type="dxa"/>
            </w:tcMar>
          </w:tcPr>
          <w:p>
            <w:pPr>
              <w:spacing w:after="40" w:before="40" w:line="252" w:lineRule="auto"/>
              <w:jc w:val="center"/>
            </w:pPr>
            <w:r>
              <w:rPr>
                <w:b/>
                <w:color w:val="FFFFFF"/>
                <w:sz w:val="18"/>
              </w:rPr>
              <w:t>Legitimate</w:t>
            </w:r>
          </w:p>
        </w:tc>
      </w:tr>
      <w:tr>
        <w:trPr>
          <w:cantSplit/>
        </w:trPr>
        <w:tc>
          <w:tcPr>
            <w:tcW w:type="dxa" w:w="2376"/>
            <w:vAlign w:val="center"/>
            <w:shd w:fill="FFFFFF"/>
            <w:tcMar>
              <w:top w:w="80" w:type="dxa"/>
              <w:bottom w:w="80" w:type="dxa"/>
              <w:left w:w="80" w:type="dxa"/>
              <w:right w:w="80" w:type="dxa"/>
            </w:tcMar>
          </w:tcPr>
          <w:p>
            <w:pPr>
              <w:spacing w:after="40" w:before="40" w:line="252" w:lineRule="auto"/>
              <w:jc w:val="left"/>
            </w:pPr>
            <w:r>
              <w:rPr>
                <w:b w:val="0"/>
                <w:color w:val="000000"/>
                <w:sz w:val="18"/>
              </w:rPr>
              <w:t>Training</w:t>
            </w:r>
          </w:p>
        </w:tc>
        <w:tc>
          <w:tcPr>
            <w:tcW w:type="dxa" w:w="1944"/>
            <w:vAlign w:val="center"/>
            <w:shd w:fill="FFFFFF"/>
            <w:tcMar>
              <w:top w:w="80" w:type="dxa"/>
              <w:bottom w:w="80" w:type="dxa"/>
              <w:left w:w="80" w:type="dxa"/>
              <w:right w:w="80" w:type="dxa"/>
            </w:tcMar>
          </w:tcPr>
          <w:p>
            <w:pPr>
              <w:spacing w:after="40" w:before="40" w:line="252" w:lineRule="auto"/>
              <w:jc w:val="center"/>
            </w:pPr>
            <w:r>
              <w:rPr>
                <w:b w:val="0"/>
                <w:color w:val="000000"/>
                <w:sz w:val="18"/>
              </w:rPr>
              <w:t>3150</w:t>
            </w:r>
          </w:p>
        </w:tc>
        <w:tc>
          <w:tcPr>
            <w:tcW w:type="dxa" w:w="1944"/>
            <w:vAlign w:val="center"/>
            <w:shd w:fill="FFFFFF"/>
            <w:tcMar>
              <w:top w:w="80" w:type="dxa"/>
              <w:bottom w:w="80" w:type="dxa"/>
              <w:left w:w="80" w:type="dxa"/>
              <w:right w:w="80" w:type="dxa"/>
            </w:tcMar>
          </w:tcPr>
          <w:p>
            <w:pPr>
              <w:spacing w:after="40" w:before="40" w:line="252" w:lineRule="auto"/>
              <w:jc w:val="center"/>
            </w:pPr>
            <w:r>
              <w:rPr>
                <w:b w:val="0"/>
                <w:color w:val="000000"/>
                <w:sz w:val="18"/>
              </w:rPr>
              <w:t>189</w:t>
            </w:r>
          </w:p>
        </w:tc>
        <w:tc>
          <w:tcPr>
            <w:tcW w:type="dxa" w:w="1944"/>
            <w:vAlign w:val="center"/>
            <w:shd w:fill="FFFFFF"/>
            <w:tcMar>
              <w:top w:w="80" w:type="dxa"/>
              <w:bottom w:w="80" w:type="dxa"/>
              <w:left w:w="80" w:type="dxa"/>
              <w:right w:w="80" w:type="dxa"/>
            </w:tcMar>
          </w:tcPr>
          <w:p>
            <w:pPr>
              <w:spacing w:after="40" w:before="40" w:line="252" w:lineRule="auto"/>
              <w:jc w:val="center"/>
            </w:pPr>
            <w:r>
              <w:rPr>
                <w:b w:val="0"/>
                <w:color w:val="000000"/>
                <w:sz w:val="18"/>
              </w:rPr>
              <w:t>2961</w:t>
            </w:r>
          </w:p>
        </w:tc>
      </w:tr>
      <w:tr>
        <w:trPr>
          <w:cantSplit/>
        </w:trPr>
        <w:tc>
          <w:tcPr>
            <w:tcW w:type="dxa" w:w="2376"/>
            <w:vAlign w:val="center"/>
            <w:shd w:fill="F1F5F6"/>
            <w:tcMar>
              <w:top w:w="80" w:type="dxa"/>
              <w:bottom w:w="80" w:type="dxa"/>
              <w:left w:w="80" w:type="dxa"/>
              <w:right w:w="80" w:type="dxa"/>
            </w:tcMar>
          </w:tcPr>
          <w:p>
            <w:pPr>
              <w:spacing w:after="40" w:before="40" w:line="252" w:lineRule="auto"/>
              <w:jc w:val="left"/>
            </w:pPr>
            <w:r>
              <w:rPr>
                <w:b w:val="0"/>
                <w:color w:val="000000"/>
                <w:sz w:val="18"/>
              </w:rPr>
              <w:t>Validation</w:t>
            </w:r>
          </w:p>
        </w:tc>
        <w:tc>
          <w:tcPr>
            <w:tcW w:type="dxa" w:w="1944"/>
            <w:vAlign w:val="center"/>
            <w:shd w:fill="F1F5F6"/>
            <w:tcMar>
              <w:top w:w="80" w:type="dxa"/>
              <w:bottom w:w="80" w:type="dxa"/>
              <w:left w:w="80" w:type="dxa"/>
              <w:right w:w="80" w:type="dxa"/>
            </w:tcMar>
          </w:tcPr>
          <w:p>
            <w:pPr>
              <w:spacing w:after="40" w:before="40" w:line="252" w:lineRule="auto"/>
              <w:jc w:val="center"/>
            </w:pPr>
            <w:r>
              <w:rPr>
                <w:b w:val="0"/>
                <w:color w:val="000000"/>
                <w:sz w:val="18"/>
              </w:rPr>
              <w:t>675</w:t>
            </w:r>
          </w:p>
        </w:tc>
        <w:tc>
          <w:tcPr>
            <w:tcW w:type="dxa" w:w="1944"/>
            <w:vAlign w:val="center"/>
            <w:shd w:fill="F1F5F6"/>
            <w:tcMar>
              <w:top w:w="80" w:type="dxa"/>
              <w:bottom w:w="80" w:type="dxa"/>
              <w:left w:w="80" w:type="dxa"/>
              <w:right w:w="80" w:type="dxa"/>
            </w:tcMar>
          </w:tcPr>
          <w:p>
            <w:pPr>
              <w:spacing w:after="40" w:before="40" w:line="252" w:lineRule="auto"/>
              <w:jc w:val="center"/>
            </w:pPr>
            <w:r>
              <w:rPr>
                <w:b w:val="0"/>
                <w:color w:val="000000"/>
                <w:sz w:val="18"/>
              </w:rPr>
              <w:t>41</w:t>
            </w:r>
          </w:p>
        </w:tc>
        <w:tc>
          <w:tcPr>
            <w:tcW w:type="dxa" w:w="1944"/>
            <w:vAlign w:val="center"/>
            <w:shd w:fill="F1F5F6"/>
            <w:tcMar>
              <w:top w:w="80" w:type="dxa"/>
              <w:bottom w:w="80" w:type="dxa"/>
              <w:left w:w="80" w:type="dxa"/>
              <w:right w:w="80" w:type="dxa"/>
            </w:tcMar>
          </w:tcPr>
          <w:p>
            <w:pPr>
              <w:spacing w:after="40" w:before="40" w:line="252" w:lineRule="auto"/>
              <w:jc w:val="center"/>
            </w:pPr>
            <w:r>
              <w:rPr>
                <w:b w:val="0"/>
                <w:color w:val="000000"/>
                <w:sz w:val="18"/>
              </w:rPr>
              <w:t>634</w:t>
            </w:r>
          </w:p>
        </w:tc>
      </w:tr>
      <w:tr>
        <w:trPr>
          <w:cantSplit/>
        </w:trPr>
        <w:tc>
          <w:tcPr>
            <w:tcW w:type="dxa" w:w="2376"/>
            <w:vAlign w:val="center"/>
            <w:shd w:fill="FFFFFF"/>
            <w:tcMar>
              <w:top w:w="80" w:type="dxa"/>
              <w:bottom w:w="80" w:type="dxa"/>
              <w:left w:w="80" w:type="dxa"/>
              <w:right w:w="80" w:type="dxa"/>
            </w:tcMar>
          </w:tcPr>
          <w:p>
            <w:pPr>
              <w:spacing w:after="40" w:before="40" w:line="252" w:lineRule="auto"/>
              <w:jc w:val="left"/>
            </w:pPr>
            <w:r>
              <w:rPr>
                <w:b w:val="0"/>
                <w:color w:val="000000"/>
                <w:sz w:val="18"/>
              </w:rPr>
              <w:t>Test</w:t>
            </w:r>
          </w:p>
        </w:tc>
        <w:tc>
          <w:tcPr>
            <w:tcW w:type="dxa" w:w="1944"/>
            <w:vAlign w:val="center"/>
            <w:shd w:fill="FFFFFF"/>
            <w:tcMar>
              <w:top w:w="80" w:type="dxa"/>
              <w:bottom w:w="80" w:type="dxa"/>
              <w:left w:w="80" w:type="dxa"/>
              <w:right w:w="80" w:type="dxa"/>
            </w:tcMar>
          </w:tcPr>
          <w:p>
            <w:pPr>
              <w:spacing w:after="40" w:before="40" w:line="252" w:lineRule="auto"/>
              <w:jc w:val="center"/>
            </w:pPr>
            <w:r>
              <w:rPr>
                <w:b w:val="0"/>
                <w:color w:val="000000"/>
                <w:sz w:val="18"/>
              </w:rPr>
              <w:t>675</w:t>
            </w:r>
          </w:p>
        </w:tc>
        <w:tc>
          <w:tcPr>
            <w:tcW w:type="dxa" w:w="1944"/>
            <w:vAlign w:val="center"/>
            <w:shd w:fill="FFFFFF"/>
            <w:tcMar>
              <w:top w:w="80" w:type="dxa"/>
              <w:bottom w:w="80" w:type="dxa"/>
              <w:left w:w="80" w:type="dxa"/>
              <w:right w:w="80" w:type="dxa"/>
            </w:tcMar>
          </w:tcPr>
          <w:p>
            <w:pPr>
              <w:spacing w:after="40" w:before="40" w:line="252" w:lineRule="auto"/>
              <w:jc w:val="center"/>
            </w:pPr>
            <w:r>
              <w:rPr>
                <w:b w:val="0"/>
                <w:color w:val="000000"/>
                <w:sz w:val="18"/>
              </w:rPr>
              <w:t>40</w:t>
            </w:r>
          </w:p>
        </w:tc>
        <w:tc>
          <w:tcPr>
            <w:tcW w:type="dxa" w:w="1944"/>
            <w:vAlign w:val="center"/>
            <w:shd w:fill="FFFFFF"/>
            <w:tcMar>
              <w:top w:w="80" w:type="dxa"/>
              <w:bottom w:w="80" w:type="dxa"/>
              <w:left w:w="80" w:type="dxa"/>
              <w:right w:w="80" w:type="dxa"/>
            </w:tcMar>
          </w:tcPr>
          <w:p>
            <w:pPr>
              <w:spacing w:after="40" w:before="40" w:line="252" w:lineRule="auto"/>
              <w:jc w:val="center"/>
            </w:pPr>
            <w:r>
              <w:rPr>
                <w:b w:val="0"/>
                <w:color w:val="000000"/>
                <w:sz w:val="18"/>
              </w:rPr>
              <w:t>635</w:t>
            </w:r>
          </w:p>
        </w:tc>
      </w:tr>
    </w:tbl>
    <w:p>
      <w:pPr>
        <w:widowControl/>
        <w:spacing w:after="0"/>
      </w:pPr>
    </w:p>
    <w:p>
      <w:pPr>
        <w:widowControl/>
      </w:pPr>
      <w:r>
        <w:t>ClaimLegitimacy maps Fraud to 1 and Legitimate to 0. Two stratified splits with seed 42 recreate the stored project partitions. Derived date features are year, month and weekday. Training-only median imputation and standard scaling process numeric inputs; mode imputation and one-hot encoding process six categorical fields. No imputation is needed for the current complete workbook. This fitting boundary follows standard leakage controls [4].</w:t>
      </w:r>
    </w:p>
    <w:p>
      <w:pPr>
        <w:pStyle w:val="Heading2"/>
      </w:pPr>
      <w:r>
        <w:t>2 1 Feature contracts</w:t>
      </w:r>
    </w:p>
    <w:p>
      <w:pPr>
        <w:widowControl/>
      </w:pPr>
      <w:r>
        <w:t>The original comparison retains seven numeric and six categorical fields, yielding 29 encoded features. ClaimStatus is excluded because its adjudication timing could expose information unavailable at claim intake. The intake variant removes Cluster, yielding 28 features. Cluster 1 contains 267 of the 270 fraud labels, but its construction and availability are undocumented. The amount sensitivity variant also removes ClaimAmount, yielding 27 features. All three variants use the same random row partitions.</w:t>
      </w:r>
    </w:p>
    <w:p>
      <w:pPr>
        <w:pStyle w:val="Heading2"/>
      </w:pPr>
      <w:r>
        <w:t>2 2 Chronological assessment</w:t>
      </w:r>
    </w:p>
    <w:p>
      <w:pPr>
        <w:widowControl/>
      </w:pPr>
      <w:r>
        <w:t>A separate intake experiment sorts by claim date and preserves complete dates at the boundaries. Training ends on 21 November 2023 (3,152 claims, 199 fraud cases). Validation runs from 22 November 2023 to 10 March 2024 (677 claims, 34 fraud cases). The test partition begins on 11 March 2024 (671 claims, 37 fraud cases). Preprocessing, neural checkpoint selection and thresholds are refitted within this chronological experiment. No calendar date appears in more than one partition.</w:t>
      </w:r>
    </w:p>
    <w:p>
      <w:pPr>
        <w:widowControl/>
      </w:pPr>
      <w:r>
        <w:t>The random test split has appeared in earlier project analyses. Consequently, the study is a retrospective internal comparison, not a newly locked external assessment. The sensitivity experiments do not change the selected model or threshold after examining their test outcomes.</w:t>
      </w:r>
    </w:p>
    <w:p>
      <w:pPr>
        <w:pStyle w:val="Heading1"/>
        <w:pageBreakBefore/>
      </w:pPr>
      <w:r>
        <w:t>3 Models and evaluation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64"/>
        <w:gridCol w:w="2016"/>
        <w:gridCol w:w="6696"/>
      </w:tblGrid>
      <w:tr>
        <w:trPr>
          <w:tblHeader/>
          <w:cantSplit/>
        </w:trPr>
        <w:tc>
          <w:tcPr>
            <w:tcW w:type="dxa" w:w="864"/>
            <w:vAlign w:val="center"/>
            <w:shd w:fill="183B4A"/>
            <w:tcMar>
              <w:top w:w="80" w:type="dxa"/>
              <w:bottom w:w="80" w:type="dxa"/>
              <w:left w:w="80" w:type="dxa"/>
              <w:right w:w="80" w:type="dxa"/>
            </w:tcMar>
          </w:tcPr>
          <w:p>
            <w:pPr>
              <w:spacing w:after="40" w:before="40" w:line="252" w:lineRule="auto"/>
              <w:jc w:val="left"/>
            </w:pPr>
            <w:r>
              <w:rPr>
                <w:b/>
                <w:color w:val="FFFFFF"/>
                <w:sz w:val="18"/>
              </w:rPr>
              <w:t>Type</w:t>
            </w:r>
          </w:p>
        </w:tc>
        <w:tc>
          <w:tcPr>
            <w:tcW w:type="dxa" w:w="2016"/>
            <w:vAlign w:val="center"/>
            <w:shd w:fill="183B4A"/>
            <w:tcMar>
              <w:top w:w="80" w:type="dxa"/>
              <w:bottom w:w="80" w:type="dxa"/>
              <w:left w:w="80" w:type="dxa"/>
              <w:right w:w="80" w:type="dxa"/>
            </w:tcMar>
          </w:tcPr>
          <w:p>
            <w:pPr>
              <w:spacing w:after="40" w:before="40" w:line="252" w:lineRule="auto"/>
              <w:jc w:val="center"/>
            </w:pPr>
            <w:r>
              <w:rPr>
                <w:b/>
                <w:color w:val="FFFFFF"/>
                <w:sz w:val="18"/>
              </w:rPr>
              <w:t>Algorithm</w:t>
            </w:r>
          </w:p>
        </w:tc>
        <w:tc>
          <w:tcPr>
            <w:tcW w:type="dxa" w:w="6696"/>
            <w:vAlign w:val="center"/>
            <w:shd w:fill="183B4A"/>
            <w:tcMar>
              <w:top w:w="80" w:type="dxa"/>
              <w:bottom w:w="80" w:type="dxa"/>
              <w:left w:w="80" w:type="dxa"/>
              <w:right w:w="80" w:type="dxa"/>
            </w:tcMar>
          </w:tcPr>
          <w:p>
            <w:pPr>
              <w:spacing w:after="40" w:before="40" w:line="252" w:lineRule="auto"/>
              <w:jc w:val="center"/>
            </w:pPr>
            <w:r>
              <w:rPr>
                <w:b/>
                <w:color w:val="FFFFFF"/>
                <w:sz w:val="18"/>
              </w:rPr>
              <w:t>Configuration</w:t>
            </w:r>
          </w:p>
        </w:tc>
      </w:tr>
      <w:tr>
        <w:trPr>
          <w:cantSplit/>
        </w:trPr>
        <w:tc>
          <w:tcPr>
            <w:tcW w:type="dxa" w:w="864"/>
            <w:vAlign w:val="center"/>
            <w:shd w:fill="FFFFFF"/>
            <w:tcMar>
              <w:top w:w="80" w:type="dxa"/>
              <w:bottom w:w="80" w:type="dxa"/>
              <w:left w:w="80" w:type="dxa"/>
              <w:right w:w="80" w:type="dxa"/>
            </w:tcMar>
          </w:tcPr>
          <w:p>
            <w:pPr>
              <w:spacing w:after="40" w:before="40" w:line="252" w:lineRule="auto"/>
              <w:jc w:val="left"/>
            </w:pPr>
            <w:r>
              <w:rPr>
                <w:b w:val="0"/>
                <w:color w:val="000000"/>
                <w:sz w:val="18"/>
              </w:rPr>
              <w:t>1</w:t>
            </w:r>
          </w:p>
        </w:tc>
        <w:tc>
          <w:tcPr>
            <w:tcW w:type="dxa" w:w="2016"/>
            <w:vAlign w:val="center"/>
            <w:shd w:fill="FFFFFF"/>
            <w:tcMar>
              <w:top w:w="80" w:type="dxa"/>
              <w:bottom w:w="80" w:type="dxa"/>
              <w:left w:w="80" w:type="dxa"/>
              <w:right w:w="80" w:type="dxa"/>
            </w:tcMar>
          </w:tcPr>
          <w:p>
            <w:pPr>
              <w:spacing w:after="40" w:before="40" w:line="252" w:lineRule="auto"/>
              <w:jc w:val="center"/>
            </w:pPr>
            <w:r>
              <w:rPr>
                <w:b w:val="0"/>
                <w:color w:val="000000"/>
                <w:sz w:val="18"/>
              </w:rPr>
              <w:t>Logistic Regression</w:t>
            </w:r>
          </w:p>
        </w:tc>
        <w:tc>
          <w:tcPr>
            <w:tcW w:type="dxa" w:w="6696"/>
            <w:vAlign w:val="center"/>
            <w:shd w:fill="FFFFFF"/>
            <w:tcMar>
              <w:top w:w="80" w:type="dxa"/>
              <w:bottom w:w="80" w:type="dxa"/>
              <w:left w:w="80" w:type="dxa"/>
              <w:right w:w="80" w:type="dxa"/>
            </w:tcMar>
          </w:tcPr>
          <w:p>
            <w:pPr>
              <w:spacing w:after="40" w:before="40" w:line="252" w:lineRule="auto"/>
              <w:jc w:val="center"/>
            </w:pPr>
            <w:r>
              <w:rPr>
                <w:b w:val="0"/>
                <w:color w:val="000000"/>
                <w:sz w:val="18"/>
              </w:rPr>
              <w:t>Balanced weights, lbfgs, maximum 2,000 iterations</w:t>
            </w:r>
          </w:p>
        </w:tc>
      </w:tr>
      <w:tr>
        <w:trPr>
          <w:cantSplit/>
        </w:trPr>
        <w:tc>
          <w:tcPr>
            <w:tcW w:type="dxa" w:w="864"/>
            <w:vAlign w:val="center"/>
            <w:shd w:fill="F1F5F6"/>
            <w:tcMar>
              <w:top w:w="80" w:type="dxa"/>
              <w:bottom w:w="80" w:type="dxa"/>
              <w:left w:w="80" w:type="dxa"/>
              <w:right w:w="80" w:type="dxa"/>
            </w:tcMar>
          </w:tcPr>
          <w:p>
            <w:pPr>
              <w:spacing w:after="40" w:before="40" w:line="252" w:lineRule="auto"/>
              <w:jc w:val="left"/>
            </w:pPr>
            <w:r>
              <w:rPr>
                <w:b w:val="0"/>
                <w:color w:val="000000"/>
                <w:sz w:val="18"/>
              </w:rPr>
              <w:t>1</w:t>
            </w:r>
          </w:p>
        </w:tc>
        <w:tc>
          <w:tcPr>
            <w:tcW w:type="dxa" w:w="2016"/>
            <w:vAlign w:val="center"/>
            <w:shd w:fill="F1F5F6"/>
            <w:tcMar>
              <w:top w:w="80" w:type="dxa"/>
              <w:bottom w:w="80" w:type="dxa"/>
              <w:left w:w="80" w:type="dxa"/>
              <w:right w:w="80" w:type="dxa"/>
            </w:tcMar>
          </w:tcPr>
          <w:p>
            <w:pPr>
              <w:spacing w:after="40" w:before="40" w:line="252" w:lineRule="auto"/>
              <w:jc w:val="center"/>
            </w:pPr>
            <w:r>
              <w:rPr>
                <w:b w:val="0"/>
                <w:color w:val="000000"/>
                <w:sz w:val="18"/>
              </w:rPr>
              <w:t>Random Forest</w:t>
            </w:r>
          </w:p>
        </w:tc>
        <w:tc>
          <w:tcPr>
            <w:tcW w:type="dxa" w:w="6696"/>
            <w:vAlign w:val="center"/>
            <w:shd w:fill="F1F5F6"/>
            <w:tcMar>
              <w:top w:w="80" w:type="dxa"/>
              <w:bottom w:w="80" w:type="dxa"/>
              <w:left w:w="80" w:type="dxa"/>
              <w:right w:w="80" w:type="dxa"/>
            </w:tcMar>
          </w:tcPr>
          <w:p>
            <w:pPr>
              <w:spacing w:after="40" w:before="40" w:line="252" w:lineRule="auto"/>
              <w:jc w:val="center"/>
            </w:pPr>
            <w:r>
              <w:rPr>
                <w:b w:val="0"/>
                <w:color w:val="000000"/>
                <w:sz w:val="18"/>
              </w:rPr>
              <w:t>300 trees, balanced weights</w:t>
            </w:r>
          </w:p>
        </w:tc>
      </w:tr>
      <w:tr>
        <w:trPr>
          <w:cantSplit/>
        </w:trPr>
        <w:tc>
          <w:tcPr>
            <w:tcW w:type="dxa" w:w="864"/>
            <w:vAlign w:val="center"/>
            <w:shd w:fill="FFFFFF"/>
            <w:tcMar>
              <w:top w:w="80" w:type="dxa"/>
              <w:bottom w:w="80" w:type="dxa"/>
              <w:left w:w="80" w:type="dxa"/>
              <w:right w:w="80" w:type="dxa"/>
            </w:tcMar>
          </w:tcPr>
          <w:p>
            <w:pPr>
              <w:spacing w:after="40" w:before="40" w:line="252" w:lineRule="auto"/>
              <w:jc w:val="left"/>
            </w:pPr>
            <w:r>
              <w:rPr>
                <w:b w:val="0"/>
                <w:color w:val="000000"/>
                <w:sz w:val="18"/>
              </w:rPr>
              <w:t>1</w:t>
            </w:r>
          </w:p>
        </w:tc>
        <w:tc>
          <w:tcPr>
            <w:tcW w:type="dxa" w:w="2016"/>
            <w:vAlign w:val="center"/>
            <w:shd w:fill="FFFFFF"/>
            <w:tcMar>
              <w:top w:w="80" w:type="dxa"/>
              <w:bottom w:w="80" w:type="dxa"/>
              <w:left w:w="80" w:type="dxa"/>
              <w:right w:w="80" w:type="dxa"/>
            </w:tcMar>
          </w:tcPr>
          <w:p>
            <w:pPr>
              <w:spacing w:after="40" w:before="40" w:line="252" w:lineRule="auto"/>
              <w:jc w:val="center"/>
            </w:pPr>
            <w:r>
              <w:rPr>
                <w:b w:val="0"/>
                <w:color w:val="000000"/>
                <w:sz w:val="18"/>
              </w:rPr>
              <w:t>XGBoost</w:t>
            </w:r>
          </w:p>
        </w:tc>
        <w:tc>
          <w:tcPr>
            <w:tcW w:type="dxa" w:w="6696"/>
            <w:vAlign w:val="center"/>
            <w:shd w:fill="FFFFFF"/>
            <w:tcMar>
              <w:top w:w="80" w:type="dxa"/>
              <w:bottom w:w="80" w:type="dxa"/>
              <w:left w:w="80" w:type="dxa"/>
              <w:right w:w="80" w:type="dxa"/>
            </w:tcMar>
          </w:tcPr>
          <w:p>
            <w:pPr>
              <w:spacing w:after="40" w:before="40" w:line="252" w:lineRule="auto"/>
              <w:jc w:val="center"/>
            </w:pPr>
            <w:r>
              <w:rPr>
                <w:b w:val="0"/>
                <w:color w:val="000000"/>
                <w:sz w:val="18"/>
              </w:rPr>
              <w:t>100 trees, depth 6, learning rate 0.3, training-derived class weight</w:t>
            </w:r>
          </w:p>
        </w:tc>
      </w:tr>
      <w:tr>
        <w:trPr>
          <w:cantSplit/>
        </w:trPr>
        <w:tc>
          <w:tcPr>
            <w:tcW w:type="dxa" w:w="864"/>
            <w:vAlign w:val="center"/>
            <w:shd w:fill="F1F5F6"/>
            <w:tcMar>
              <w:top w:w="80" w:type="dxa"/>
              <w:bottom w:w="80" w:type="dxa"/>
              <w:left w:w="80" w:type="dxa"/>
              <w:right w:w="80" w:type="dxa"/>
            </w:tcMar>
          </w:tcPr>
          <w:p>
            <w:pPr>
              <w:spacing w:after="40" w:before="40" w:line="252" w:lineRule="auto"/>
              <w:jc w:val="left"/>
            </w:pPr>
            <w:r>
              <w:rPr>
                <w:b w:val="0"/>
                <w:color w:val="000000"/>
                <w:sz w:val="18"/>
              </w:rPr>
              <w:t>1</w:t>
            </w:r>
          </w:p>
        </w:tc>
        <w:tc>
          <w:tcPr>
            <w:tcW w:type="dxa" w:w="2016"/>
            <w:vAlign w:val="center"/>
            <w:shd w:fill="F1F5F6"/>
            <w:tcMar>
              <w:top w:w="80" w:type="dxa"/>
              <w:bottom w:w="80" w:type="dxa"/>
              <w:left w:w="80" w:type="dxa"/>
              <w:right w:w="80" w:type="dxa"/>
            </w:tcMar>
          </w:tcPr>
          <w:p>
            <w:pPr>
              <w:spacing w:after="40" w:before="40" w:line="252" w:lineRule="auto"/>
              <w:jc w:val="center"/>
            </w:pPr>
            <w:r>
              <w:rPr>
                <w:b w:val="0"/>
                <w:color w:val="000000"/>
                <w:sz w:val="18"/>
              </w:rPr>
              <w:t>SVM</w:t>
            </w:r>
          </w:p>
        </w:tc>
        <w:tc>
          <w:tcPr>
            <w:tcW w:type="dxa" w:w="6696"/>
            <w:vAlign w:val="center"/>
            <w:shd w:fill="F1F5F6"/>
            <w:tcMar>
              <w:top w:w="80" w:type="dxa"/>
              <w:bottom w:w="80" w:type="dxa"/>
              <w:left w:w="80" w:type="dxa"/>
              <w:right w:w="80" w:type="dxa"/>
            </w:tcMar>
          </w:tcPr>
          <w:p>
            <w:pPr>
              <w:spacing w:after="40" w:before="40" w:line="252" w:lineRule="auto"/>
              <w:jc w:val="center"/>
            </w:pPr>
            <w:r>
              <w:rPr>
                <w:b w:val="0"/>
                <w:color w:val="000000"/>
                <w:sz w:val="18"/>
              </w:rPr>
              <w:t>RBF kernel, balanced weights, sigmoid of decision margin</w:t>
            </w:r>
          </w:p>
        </w:tc>
      </w:tr>
      <w:tr>
        <w:trPr>
          <w:cantSplit/>
        </w:trPr>
        <w:tc>
          <w:tcPr>
            <w:tcW w:type="dxa" w:w="864"/>
            <w:vAlign w:val="center"/>
            <w:shd w:fill="FFFFFF"/>
            <w:tcMar>
              <w:top w:w="80" w:type="dxa"/>
              <w:bottom w:w="80" w:type="dxa"/>
              <w:left w:w="80" w:type="dxa"/>
              <w:right w:w="80" w:type="dxa"/>
            </w:tcMar>
          </w:tcPr>
          <w:p>
            <w:pPr>
              <w:spacing w:after="40" w:before="40" w:line="252" w:lineRule="auto"/>
              <w:jc w:val="left"/>
            </w:pPr>
            <w:r>
              <w:rPr>
                <w:b w:val="0"/>
                <w:color w:val="000000"/>
                <w:sz w:val="18"/>
              </w:rPr>
              <w:t>1</w:t>
            </w:r>
          </w:p>
        </w:tc>
        <w:tc>
          <w:tcPr>
            <w:tcW w:type="dxa" w:w="2016"/>
            <w:vAlign w:val="center"/>
            <w:shd w:fill="FFFFFF"/>
            <w:tcMar>
              <w:top w:w="80" w:type="dxa"/>
              <w:bottom w:w="80" w:type="dxa"/>
              <w:left w:w="80" w:type="dxa"/>
              <w:right w:w="80" w:type="dxa"/>
            </w:tcMar>
          </w:tcPr>
          <w:p>
            <w:pPr>
              <w:spacing w:after="40" w:before="40" w:line="252" w:lineRule="auto"/>
              <w:jc w:val="center"/>
            </w:pPr>
            <w:r>
              <w:rPr>
                <w:b w:val="0"/>
                <w:color w:val="000000"/>
                <w:sz w:val="18"/>
              </w:rPr>
              <w:t>Histogram GB</w:t>
            </w:r>
          </w:p>
        </w:tc>
        <w:tc>
          <w:tcPr>
            <w:tcW w:type="dxa" w:w="6696"/>
            <w:vAlign w:val="center"/>
            <w:shd w:fill="FFFFFF"/>
            <w:tcMar>
              <w:top w:w="80" w:type="dxa"/>
              <w:bottom w:w="80" w:type="dxa"/>
              <w:left w:w="80" w:type="dxa"/>
              <w:right w:w="80" w:type="dxa"/>
            </w:tcMar>
          </w:tcPr>
          <w:p>
            <w:pPr>
              <w:spacing w:after="40" w:before="40" w:line="252" w:lineRule="auto"/>
              <w:jc w:val="center"/>
            </w:pPr>
            <w:r>
              <w:rPr>
                <w:b w:val="0"/>
                <w:color w:val="000000"/>
                <w:sz w:val="18"/>
              </w:rPr>
              <w:t>100 iterations, balanced weights</w:t>
            </w:r>
          </w:p>
        </w:tc>
      </w:tr>
      <w:tr>
        <w:trPr>
          <w:cantSplit/>
        </w:trPr>
        <w:tc>
          <w:tcPr>
            <w:tcW w:type="dxa" w:w="864"/>
            <w:vAlign w:val="center"/>
            <w:shd w:fill="F1F5F6"/>
            <w:tcMar>
              <w:top w:w="80" w:type="dxa"/>
              <w:bottom w:w="80" w:type="dxa"/>
              <w:left w:w="80" w:type="dxa"/>
              <w:right w:w="80" w:type="dxa"/>
            </w:tcMar>
          </w:tcPr>
          <w:p>
            <w:pPr>
              <w:spacing w:after="40" w:before="40" w:line="252" w:lineRule="auto"/>
              <w:jc w:val="left"/>
            </w:pPr>
            <w:r>
              <w:rPr>
                <w:b w:val="0"/>
                <w:color w:val="000000"/>
                <w:sz w:val="18"/>
              </w:rPr>
              <w:t>2</w:t>
            </w:r>
          </w:p>
        </w:tc>
        <w:tc>
          <w:tcPr>
            <w:tcW w:type="dxa" w:w="2016"/>
            <w:vAlign w:val="center"/>
            <w:shd w:fill="F1F5F6"/>
            <w:tcMar>
              <w:top w:w="80" w:type="dxa"/>
              <w:bottom w:w="80" w:type="dxa"/>
              <w:left w:w="80" w:type="dxa"/>
              <w:right w:w="80" w:type="dxa"/>
            </w:tcMar>
          </w:tcPr>
          <w:p>
            <w:pPr>
              <w:spacing w:after="40" w:before="40" w:line="252" w:lineRule="auto"/>
              <w:jc w:val="center"/>
            </w:pPr>
            <w:r>
              <w:rPr>
                <w:b w:val="0"/>
                <w:color w:val="000000"/>
                <w:sz w:val="18"/>
              </w:rPr>
              <w:t>MLP</w:t>
            </w:r>
          </w:p>
        </w:tc>
        <w:tc>
          <w:tcPr>
            <w:tcW w:type="dxa" w:w="6696"/>
            <w:vAlign w:val="center"/>
            <w:shd w:fill="F1F5F6"/>
            <w:tcMar>
              <w:top w:w="80" w:type="dxa"/>
              <w:bottom w:w="80" w:type="dxa"/>
              <w:left w:w="80" w:type="dxa"/>
              <w:right w:w="80" w:type="dxa"/>
            </w:tcMar>
          </w:tcPr>
          <w:p>
            <w:pPr>
              <w:spacing w:after="40" w:before="40" w:line="252" w:lineRule="auto"/>
              <w:jc w:val="center"/>
            </w:pPr>
            <w:r>
              <w:rPr>
                <w:b w:val="0"/>
                <w:color w:val="000000"/>
                <w:sz w:val="18"/>
              </w:rPr>
              <w:t>Input, 64, 32, 1 units with ReLU and 0.2 dropout</w:t>
            </w:r>
          </w:p>
        </w:tc>
      </w:tr>
      <w:tr>
        <w:trPr>
          <w:cantSplit/>
        </w:trPr>
        <w:tc>
          <w:tcPr>
            <w:tcW w:type="dxa" w:w="864"/>
            <w:vAlign w:val="center"/>
            <w:shd w:fill="FFFFFF"/>
            <w:tcMar>
              <w:top w:w="80" w:type="dxa"/>
              <w:bottom w:w="80" w:type="dxa"/>
              <w:left w:w="80" w:type="dxa"/>
              <w:right w:w="80" w:type="dxa"/>
            </w:tcMar>
          </w:tcPr>
          <w:p>
            <w:pPr>
              <w:spacing w:after="40" w:before="40" w:line="252" w:lineRule="auto"/>
              <w:jc w:val="left"/>
            </w:pPr>
            <w:r>
              <w:rPr>
                <w:b w:val="0"/>
                <w:color w:val="000000"/>
                <w:sz w:val="18"/>
              </w:rPr>
              <w:t>2</w:t>
            </w:r>
          </w:p>
        </w:tc>
        <w:tc>
          <w:tcPr>
            <w:tcW w:type="dxa" w:w="2016"/>
            <w:vAlign w:val="center"/>
            <w:shd w:fill="FFFFFF"/>
            <w:tcMar>
              <w:top w:w="80" w:type="dxa"/>
              <w:bottom w:w="80" w:type="dxa"/>
              <w:left w:w="80" w:type="dxa"/>
              <w:right w:w="80" w:type="dxa"/>
            </w:tcMar>
          </w:tcPr>
          <w:p>
            <w:pPr>
              <w:spacing w:after="40" w:before="40" w:line="252" w:lineRule="auto"/>
              <w:jc w:val="center"/>
            </w:pPr>
            <w:r>
              <w:rPr>
                <w:b w:val="0"/>
                <w:color w:val="000000"/>
                <w:sz w:val="18"/>
              </w:rPr>
              <w:t>Residual MLP</w:t>
            </w:r>
          </w:p>
        </w:tc>
        <w:tc>
          <w:tcPr>
            <w:tcW w:type="dxa" w:w="6696"/>
            <w:vAlign w:val="center"/>
            <w:shd w:fill="FFFFFF"/>
            <w:tcMar>
              <w:top w:w="80" w:type="dxa"/>
              <w:bottom w:w="80" w:type="dxa"/>
              <w:left w:w="80" w:type="dxa"/>
              <w:right w:w="80" w:type="dxa"/>
            </w:tcMar>
          </w:tcPr>
          <w:p>
            <w:pPr>
              <w:spacing w:after="40" w:before="40" w:line="252" w:lineRule="auto"/>
              <w:jc w:val="center"/>
            </w:pPr>
            <w:r>
              <w:rPr>
                <w:b w:val="0"/>
                <w:color w:val="000000"/>
                <w:sz w:val="18"/>
              </w:rPr>
              <w:t>64-unit projection, two 64-unit residual blocks, scalar output</w:t>
            </w:r>
          </w:p>
        </w:tc>
      </w:tr>
      <w:tr>
        <w:trPr>
          <w:cantSplit/>
        </w:trPr>
        <w:tc>
          <w:tcPr>
            <w:tcW w:type="dxa" w:w="864"/>
            <w:vAlign w:val="center"/>
            <w:shd w:fill="F1F5F6"/>
            <w:tcMar>
              <w:top w:w="80" w:type="dxa"/>
              <w:bottom w:w="80" w:type="dxa"/>
              <w:left w:w="80" w:type="dxa"/>
              <w:right w:w="80" w:type="dxa"/>
            </w:tcMar>
          </w:tcPr>
          <w:p>
            <w:pPr>
              <w:spacing w:after="40" w:before="40" w:line="252" w:lineRule="auto"/>
              <w:jc w:val="left"/>
            </w:pPr>
            <w:r>
              <w:rPr>
                <w:b w:val="0"/>
                <w:color w:val="000000"/>
                <w:sz w:val="18"/>
              </w:rPr>
              <w:t>2</w:t>
            </w:r>
          </w:p>
        </w:tc>
        <w:tc>
          <w:tcPr>
            <w:tcW w:type="dxa" w:w="2016"/>
            <w:vAlign w:val="center"/>
            <w:shd w:fill="F1F5F6"/>
            <w:tcMar>
              <w:top w:w="80" w:type="dxa"/>
              <w:bottom w:w="80" w:type="dxa"/>
              <w:left w:w="80" w:type="dxa"/>
              <w:right w:w="80" w:type="dxa"/>
            </w:tcMar>
          </w:tcPr>
          <w:p>
            <w:pPr>
              <w:spacing w:after="40" w:before="40" w:line="252" w:lineRule="auto"/>
              <w:jc w:val="center"/>
            </w:pPr>
            <w:r>
              <w:rPr>
                <w:b w:val="0"/>
                <w:color w:val="000000"/>
                <w:sz w:val="18"/>
              </w:rPr>
              <w:t>1D CNN</w:t>
            </w:r>
          </w:p>
        </w:tc>
        <w:tc>
          <w:tcPr>
            <w:tcW w:type="dxa" w:w="6696"/>
            <w:vAlign w:val="center"/>
            <w:shd w:fill="F1F5F6"/>
            <w:tcMar>
              <w:top w:w="80" w:type="dxa"/>
              <w:bottom w:w="80" w:type="dxa"/>
              <w:left w:w="80" w:type="dxa"/>
              <w:right w:w="80" w:type="dxa"/>
            </w:tcMar>
          </w:tcPr>
          <w:p>
            <w:pPr>
              <w:spacing w:after="40" w:before="40" w:line="252" w:lineRule="auto"/>
              <w:jc w:val="center"/>
            </w:pPr>
            <w:r>
              <w:rPr>
                <w:b w:val="0"/>
                <w:color w:val="000000"/>
                <w:sz w:val="18"/>
              </w:rPr>
              <w:t>Two kernel-3 convolutions with 8 and 16 channels, flatten, 32-unit dense layer, scalar output</w:t>
            </w:r>
          </w:p>
        </w:tc>
      </w:tr>
    </w:tbl>
    <w:p>
      <w:pPr>
        <w:widowControl/>
        <w:spacing w:after="0"/>
      </w:pPr>
    </w:p>
    <w:p>
      <w:pPr>
        <w:widowControl/>
      </w:pPr>
      <w:r>
        <w:t>All neural models use weighted binary cross entropy with logits, with positive weight equal to the training negative-to-positive ratio (15.6667 for the random split) [5]. AdamW uses learning rate 0.001 and weight decay 0.0001. Batch size is 128. The maximum is 100 epochs, with patience 15 and checkpoint selection by validation AP. Seed 42, two CPU threads and deterministic PyTorch operations control the run. The saved best checkpoint, rather than the final epoch, supplies evaluation scores.</w:t>
      </w:r>
    </w:p>
    <w:p>
      <w:pPr>
        <w:widowControl/>
      </w:pPr>
      <w:r>
        <w:t>The residual model is a compact project implementation with additive skip connections. Work on tabular deep learning motivates comparing strong dense and residual baselines [6], but this model does not reproduce that paper. The CNN follows the fixed encoded feature order; neighboring columns have no established spatial meaning. It is therefore an experimental comparator.</w:t>
      </w:r>
    </w:p>
    <w:p>
      <w:pPr>
        <w:widowControl/>
      </w:pPr>
      <w:r>
        <w:t>For each fitted model, the validation threshold maximizes F1 over unique validation scores. Equal F1 chooses the larger threshold. Primary model ranking uses validation AP rounded to 12 decimals, then validation F1, then the declared model order. The 0.5 policy is also retained to expose the effect of threshold choice. The test partition supplies final descriptive metrics only.</w:t>
      </w:r>
    </w:p>
    <w:p>
      <w:pPr>
        <w:pStyle w:val="Heading1"/>
        <w:pageBreakBefore/>
      </w:pPr>
      <w:r>
        <w:t>4 Evaluation measures</w:t>
      </w:r>
    </w:p>
    <w:p>
      <w:pPr>
        <w:widowControl/>
      </w:pPr>
      <w:r>
        <w:t>Let TP and TN denote correctly flagged fraud and correctly unflagged legitimate claims. FP denotes a legitimate claim flagged for review; FN denotes a fraud claim below the decision threshold.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7632"/>
      </w:tblGrid>
      <w:tr>
        <w:trPr>
          <w:tblHeader/>
          <w:cantSplit/>
        </w:trPr>
        <w:tc>
          <w:tcPr>
            <w:tcW w:type="dxa" w:w="1944"/>
            <w:vAlign w:val="center"/>
            <w:shd w:fill="183B4A"/>
            <w:tcMar>
              <w:top w:w="80" w:type="dxa"/>
              <w:bottom w:w="80" w:type="dxa"/>
              <w:left w:w="80" w:type="dxa"/>
              <w:right w:w="80" w:type="dxa"/>
            </w:tcMar>
          </w:tcPr>
          <w:p>
            <w:pPr>
              <w:spacing w:after="40" w:before="40" w:line="252" w:lineRule="auto"/>
              <w:jc w:val="left"/>
            </w:pPr>
            <w:r>
              <w:rPr>
                <w:b/>
                <w:color w:val="FFFFFF"/>
                <w:sz w:val="18"/>
              </w:rPr>
              <w:t>Measure</w:t>
            </w:r>
          </w:p>
        </w:tc>
        <w:tc>
          <w:tcPr>
            <w:tcW w:type="dxa" w:w="7632"/>
            <w:vAlign w:val="center"/>
            <w:shd w:fill="183B4A"/>
            <w:tcMar>
              <w:top w:w="80" w:type="dxa"/>
              <w:bottom w:w="80" w:type="dxa"/>
              <w:left w:w="80" w:type="dxa"/>
              <w:right w:w="80" w:type="dxa"/>
            </w:tcMar>
          </w:tcPr>
          <w:p>
            <w:pPr>
              <w:spacing w:after="40" w:before="40" w:line="252" w:lineRule="auto"/>
              <w:jc w:val="center"/>
            </w:pPr>
            <w:r>
              <w:rPr>
                <w:b/>
                <w:color w:val="FFFFFF"/>
                <w:sz w:val="18"/>
              </w:rPr>
              <w:t>Definition</w:t>
            </w:r>
          </w:p>
        </w:tc>
      </w:tr>
      <w:tr>
        <w:trPr>
          <w:cantSplit/>
        </w:trPr>
        <w:tc>
          <w:tcPr>
            <w:tcW w:type="dxa" w:w="1944"/>
            <w:vAlign w:val="center"/>
            <w:shd w:fill="FFFFFF"/>
            <w:tcMar>
              <w:top w:w="80" w:type="dxa"/>
              <w:bottom w:w="80" w:type="dxa"/>
              <w:left w:w="80" w:type="dxa"/>
              <w:right w:w="80" w:type="dxa"/>
            </w:tcMar>
          </w:tcPr>
          <w:p>
            <w:pPr>
              <w:spacing w:after="40" w:before="40" w:line="252" w:lineRule="auto"/>
              <w:jc w:val="left"/>
            </w:pPr>
            <w:r>
              <w:rPr>
                <w:b w:val="0"/>
                <w:color w:val="000000"/>
                <w:sz w:val="18"/>
              </w:rPr>
              <w:t>Accuracy</w:t>
            </w:r>
          </w:p>
        </w:tc>
        <w:tc>
          <w:tcPr>
            <w:tcW w:type="dxa" w:w="7632"/>
            <w:vAlign w:val="center"/>
            <w:shd w:fill="FFFFFF"/>
            <w:tcMar>
              <w:top w:w="80" w:type="dxa"/>
              <w:bottom w:w="80" w:type="dxa"/>
              <w:left w:w="80" w:type="dxa"/>
              <w:right w:w="80" w:type="dxa"/>
            </w:tcMar>
          </w:tcPr>
          <w:p>
            <w:pPr>
              <w:spacing w:after="40" w:before="40" w:line="252" w:lineRule="auto"/>
              <w:jc w:val="center"/>
            </w:pPr>
            <w:r>
              <w:rPr>
                <w:b w:val="0"/>
                <w:color w:val="000000"/>
                <w:sz w:val="18"/>
              </w:rPr>
              <w:t>(TP + TN) / (TP + TN + FP + FN)</w:t>
            </w:r>
          </w:p>
        </w:tc>
      </w:tr>
      <w:tr>
        <w:trPr>
          <w:cantSplit/>
        </w:trPr>
        <w:tc>
          <w:tcPr>
            <w:tcW w:type="dxa" w:w="1944"/>
            <w:vAlign w:val="center"/>
            <w:shd w:fill="F1F5F6"/>
            <w:tcMar>
              <w:top w:w="80" w:type="dxa"/>
              <w:bottom w:w="80" w:type="dxa"/>
              <w:left w:w="80" w:type="dxa"/>
              <w:right w:w="80" w:type="dxa"/>
            </w:tcMar>
          </w:tcPr>
          <w:p>
            <w:pPr>
              <w:spacing w:after="40" w:before="40" w:line="252" w:lineRule="auto"/>
              <w:jc w:val="left"/>
            </w:pPr>
            <w:r>
              <w:rPr>
                <w:b w:val="0"/>
                <w:color w:val="000000"/>
                <w:sz w:val="18"/>
              </w:rPr>
              <w:t>Precision</w:t>
            </w:r>
          </w:p>
        </w:tc>
        <w:tc>
          <w:tcPr>
            <w:tcW w:type="dxa" w:w="7632"/>
            <w:vAlign w:val="center"/>
            <w:shd w:fill="F1F5F6"/>
            <w:tcMar>
              <w:top w:w="80" w:type="dxa"/>
              <w:bottom w:w="80" w:type="dxa"/>
              <w:left w:w="80" w:type="dxa"/>
              <w:right w:w="80" w:type="dxa"/>
            </w:tcMar>
          </w:tcPr>
          <w:p>
            <w:pPr>
              <w:spacing w:after="40" w:before="40" w:line="252" w:lineRule="auto"/>
              <w:jc w:val="center"/>
            </w:pPr>
            <w:r>
              <w:rPr>
                <w:b w:val="0"/>
                <w:color w:val="000000"/>
                <w:sz w:val="18"/>
              </w:rPr>
              <w:t>TP / (TP + FP)</w:t>
            </w:r>
          </w:p>
        </w:tc>
      </w:tr>
      <w:tr>
        <w:trPr>
          <w:cantSplit/>
        </w:trPr>
        <w:tc>
          <w:tcPr>
            <w:tcW w:type="dxa" w:w="1944"/>
            <w:vAlign w:val="center"/>
            <w:shd w:fill="FFFFFF"/>
            <w:tcMar>
              <w:top w:w="80" w:type="dxa"/>
              <w:bottom w:w="80" w:type="dxa"/>
              <w:left w:w="80" w:type="dxa"/>
              <w:right w:w="80" w:type="dxa"/>
            </w:tcMar>
          </w:tcPr>
          <w:p>
            <w:pPr>
              <w:spacing w:after="40" w:before="40" w:line="252" w:lineRule="auto"/>
              <w:jc w:val="left"/>
            </w:pPr>
            <w:r>
              <w:rPr>
                <w:b w:val="0"/>
                <w:color w:val="000000"/>
                <w:sz w:val="18"/>
              </w:rPr>
              <w:t>Recall</w:t>
            </w:r>
          </w:p>
        </w:tc>
        <w:tc>
          <w:tcPr>
            <w:tcW w:type="dxa" w:w="7632"/>
            <w:vAlign w:val="center"/>
            <w:shd w:fill="FFFFFF"/>
            <w:tcMar>
              <w:top w:w="80" w:type="dxa"/>
              <w:bottom w:w="80" w:type="dxa"/>
              <w:left w:w="80" w:type="dxa"/>
              <w:right w:w="80" w:type="dxa"/>
            </w:tcMar>
          </w:tcPr>
          <w:p>
            <w:pPr>
              <w:spacing w:after="40" w:before="40" w:line="252" w:lineRule="auto"/>
              <w:jc w:val="center"/>
            </w:pPr>
            <w:r>
              <w:rPr>
                <w:b w:val="0"/>
                <w:color w:val="000000"/>
                <w:sz w:val="18"/>
              </w:rPr>
              <w:t>TP / (TP + FN)</w:t>
            </w:r>
          </w:p>
        </w:tc>
      </w:tr>
      <w:tr>
        <w:trPr>
          <w:cantSplit/>
        </w:trPr>
        <w:tc>
          <w:tcPr>
            <w:tcW w:type="dxa" w:w="1944"/>
            <w:vAlign w:val="center"/>
            <w:shd w:fill="F1F5F6"/>
            <w:tcMar>
              <w:top w:w="80" w:type="dxa"/>
              <w:bottom w:w="80" w:type="dxa"/>
              <w:left w:w="80" w:type="dxa"/>
              <w:right w:w="80" w:type="dxa"/>
            </w:tcMar>
          </w:tcPr>
          <w:p>
            <w:pPr>
              <w:spacing w:after="40" w:before="40" w:line="252" w:lineRule="auto"/>
              <w:jc w:val="left"/>
            </w:pPr>
            <w:r>
              <w:rPr>
                <w:b w:val="0"/>
                <w:color w:val="000000"/>
                <w:sz w:val="18"/>
              </w:rPr>
              <w:t>F1</w:t>
            </w:r>
          </w:p>
        </w:tc>
        <w:tc>
          <w:tcPr>
            <w:tcW w:type="dxa" w:w="7632"/>
            <w:vAlign w:val="center"/>
            <w:shd w:fill="F1F5F6"/>
            <w:tcMar>
              <w:top w:w="80" w:type="dxa"/>
              <w:bottom w:w="80" w:type="dxa"/>
              <w:left w:w="80" w:type="dxa"/>
              <w:right w:w="80" w:type="dxa"/>
            </w:tcMar>
          </w:tcPr>
          <w:p>
            <w:pPr>
              <w:spacing w:after="40" w:before="40" w:line="252" w:lineRule="auto"/>
              <w:jc w:val="center"/>
            </w:pPr>
            <w:r>
              <w:rPr>
                <w:b w:val="0"/>
                <w:color w:val="000000"/>
                <w:sz w:val="18"/>
              </w:rPr>
              <w:t>2 TP / (2 TP + FP + FN)</w:t>
            </w:r>
          </w:p>
        </w:tc>
      </w:tr>
      <w:tr>
        <w:trPr>
          <w:cantSplit/>
        </w:trPr>
        <w:tc>
          <w:tcPr>
            <w:tcW w:type="dxa" w:w="1944"/>
            <w:vAlign w:val="center"/>
            <w:shd w:fill="FFFFFF"/>
            <w:tcMar>
              <w:top w:w="80" w:type="dxa"/>
              <w:bottom w:w="80" w:type="dxa"/>
              <w:left w:w="80" w:type="dxa"/>
              <w:right w:w="80" w:type="dxa"/>
            </w:tcMar>
          </w:tcPr>
          <w:p>
            <w:pPr>
              <w:spacing w:after="40" w:before="40" w:line="252" w:lineRule="auto"/>
              <w:jc w:val="left"/>
            </w:pPr>
            <w:r>
              <w:rPr>
                <w:b w:val="0"/>
                <w:color w:val="000000"/>
                <w:sz w:val="18"/>
              </w:rPr>
              <w:t>Average precision</w:t>
            </w:r>
          </w:p>
        </w:tc>
        <w:tc>
          <w:tcPr>
            <w:tcW w:type="dxa" w:w="7632"/>
            <w:vAlign w:val="center"/>
            <w:shd w:fill="FFFFFF"/>
            <w:tcMar>
              <w:top w:w="80" w:type="dxa"/>
              <w:bottom w:w="80" w:type="dxa"/>
              <w:left w:w="80" w:type="dxa"/>
              <w:right w:w="80" w:type="dxa"/>
            </w:tcMar>
          </w:tcPr>
          <w:p>
            <w:pPr>
              <w:spacing w:after="40" w:before="40" w:line="252" w:lineRule="auto"/>
              <w:jc w:val="center"/>
            </w:pPr>
            <w:r>
              <w:rPr>
                <w:b w:val="0"/>
                <w:color w:val="000000"/>
                <w:sz w:val="18"/>
              </w:rPr>
              <w:t>Sum over score groups of (R_k - R_(k-1)) P_k</w:t>
            </w:r>
          </w:p>
        </w:tc>
      </w:tr>
      <w:tr>
        <w:trPr>
          <w:cantSplit/>
        </w:trPr>
        <w:tc>
          <w:tcPr>
            <w:tcW w:type="dxa" w:w="1944"/>
            <w:vAlign w:val="center"/>
            <w:shd w:fill="F1F5F6"/>
            <w:tcMar>
              <w:top w:w="80" w:type="dxa"/>
              <w:bottom w:w="80" w:type="dxa"/>
              <w:left w:w="80" w:type="dxa"/>
              <w:right w:w="80" w:type="dxa"/>
            </w:tcMar>
          </w:tcPr>
          <w:p>
            <w:pPr>
              <w:spacing w:after="40" w:before="40" w:line="252" w:lineRule="auto"/>
              <w:jc w:val="left"/>
            </w:pPr>
            <w:r>
              <w:rPr>
                <w:b w:val="0"/>
                <w:color w:val="000000"/>
                <w:sz w:val="18"/>
              </w:rPr>
              <w:t>ROC AUC</w:t>
            </w:r>
          </w:p>
        </w:tc>
        <w:tc>
          <w:tcPr>
            <w:tcW w:type="dxa" w:w="7632"/>
            <w:vAlign w:val="center"/>
            <w:shd w:fill="F1F5F6"/>
            <w:tcMar>
              <w:top w:w="80" w:type="dxa"/>
              <w:bottom w:w="80" w:type="dxa"/>
              <w:left w:w="80" w:type="dxa"/>
              <w:right w:w="80" w:type="dxa"/>
            </w:tcMar>
          </w:tcPr>
          <w:p>
            <w:pPr>
              <w:spacing w:after="40" w:before="40" w:line="252" w:lineRule="auto"/>
              <w:jc w:val="center"/>
            </w:pPr>
            <w:r>
              <w:rPr>
                <w:b w:val="0"/>
                <w:color w:val="000000"/>
                <w:sz w:val="18"/>
              </w:rPr>
              <w:t>Probability that a fraud score exceeds a legitimate score, with half credit for a tie</w:t>
            </w:r>
          </w:p>
        </w:tc>
      </w:tr>
    </w:tbl>
    <w:p>
      <w:pPr>
        <w:widowControl/>
        <w:spacing w:after="0"/>
      </w:pPr>
    </w:p>
    <w:p>
      <w:pPr>
        <w:widowControl/>
      </w:pPr>
      <w:r>
        <w:t>P_k and R_k are precision and recall after including a tied-score group in descending score order. AP uses recall increments as weights [2]. ROC AUC measures ranking across the two classes [3]. Zero-positive precision is defined as zero. Every score is uncalibrated.</w:t>
      </w:r>
    </w:p>
    <w:p>
      <w:pPr>
        <w:widowControl/>
      </w:pPr>
      <w:r>
        <w:t>The project previously labelled average_precision_score output as PR AUC. This study calls the quantity average precision (AP) because it uses step weighting rather than trapezoidal interpolation [2]. The distinction matters when curve shapes differ. AP and ROC AUC use scores, while accuracy, precision, recall and F1 depend on a decision threshold.</w:t>
      </w:r>
    </w:p>
    <w:p>
      <w:pPr>
        <w:pStyle w:val="Heading2"/>
      </w:pPr>
      <w:r>
        <w:t>4 1 Independent verification</w:t>
      </w:r>
    </w:p>
    <w:p>
      <w:pPr>
        <w:widowControl/>
      </w:pPr>
      <w:r>
        <w:t>The evaluation stores each validation and test label, source row and predicted score. Independent confusion-count equations reproduce the threshold metrics. A grouped-score implementation reproduces AP; a rank-sum calculation reproduces ROC AUC, including ties. These checks cover 128 metric rows across 32 fitted model and experiment combinations [7].</w:t>
      </w:r>
    </w:p>
    <w:p>
      <w:pPr>
        <w:widowControl/>
      </w:pPr>
      <w:r>
        <w:t>For intake Random Forest at threshold 0.4167, TP = 39, TN = 635, FP = 0 and FN = 1. Accuracy is 674/675 = 99.8519%. Precision is 39/39 = 100.00%. Recall is 39/40 = 97.50%. F1 is 78/79 = 0.987342. Perfect AP can coexist with one false negative because ranking and a fixed operating threshold measure different properties.</w:t>
      </w:r>
    </w:p>
    <w:p>
      <w:r>
        <w:drawing>
          <wp:inline xmlns:a="http://schemas.openxmlformats.org/drawingml/2006/main" xmlns:pic="http://schemas.openxmlformats.org/drawingml/2006/picture">
            <wp:extent cx="3200400" cy="2560320"/>
            <wp:docPr id="1" name="Picture 1"/>
            <wp:cNvGraphicFramePr>
              <a:graphicFrameLocks noChangeAspect="1"/>
            </wp:cNvGraphicFramePr>
            <a:graphic>
              <a:graphicData uri="http://schemas.openxmlformats.org/drawingml/2006/picture">
                <pic:pic>
                  <pic:nvPicPr>
                    <pic:cNvPr id="0" name="confusion_matrix.png"/>
                    <pic:cNvPicPr/>
                  </pic:nvPicPr>
                  <pic:blipFill>
                    <a:blip r:embed="rId10"/>
                    <a:stretch>
                      <a:fillRect/>
                    </a:stretch>
                  </pic:blipFill>
                  <pic:spPr>
                    <a:xfrm>
                      <a:off x="0" y="0"/>
                      <a:ext cx="3200400" cy="2560320"/>
                    </a:xfrm>
                    <a:prstGeom prst="rect"/>
                  </pic:spPr>
                </pic:pic>
              </a:graphicData>
            </a:graphic>
          </wp:inline>
        </w:drawing>
      </w:r>
    </w:p>
    <w:p>
      <w:pPr>
        <w:widowControl/>
        <w:spacing w:after="160"/>
      </w:pPr>
      <w:r>
        <w:rPr>
          <w:i/>
          <w:sz w:val="18"/>
        </w:rPr>
        <w:t>Figure 1  Intake Random Forest test confusion matrix at the validation-selected threshold.</w:t>
      </w:r>
    </w:p>
    <w:p>
      <w:pPr>
        <w:pStyle w:val="Heading1"/>
        <w:pageBreakBefore/>
      </w:pPr>
      <w:r>
        <w:t>5 Comparative results</w:t>
      </w:r>
    </w:p>
    <w:p>
      <w:pPr>
        <w:widowControl/>
      </w:pPr>
      <w:r>
        <w:t>Table 2 reports the intake experiment with Cluster removed. Every row uses that model’s own validation-selected threshold. The models share the same 675 test claims and 40 fraud cases. Random Forest wins the specified validation tie-break and serves as the default demonstration model. Test results alone would not justify changing that selection.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1080"/>
        <w:gridCol w:w="1368"/>
        <w:gridCol w:w="1368"/>
        <w:gridCol w:w="1080"/>
        <w:gridCol w:w="936"/>
      </w:tblGrid>
      <w:tr>
        <w:trPr>
          <w:tblHeader/>
          <w:cantSplit/>
        </w:trPr>
        <w:tc>
          <w:tcPr>
            <w:tcW w:type="dxa" w:w="2376"/>
            <w:vAlign w:val="center"/>
            <w:shd w:fill="183B4A"/>
            <w:tcMar>
              <w:top w:w="80" w:type="dxa"/>
              <w:bottom w:w="80" w:type="dxa"/>
              <w:left w:w="80" w:type="dxa"/>
              <w:right w:w="80" w:type="dxa"/>
            </w:tcMar>
          </w:tcPr>
          <w:p>
            <w:pPr>
              <w:spacing w:after="40" w:before="40" w:line="252" w:lineRule="auto"/>
              <w:jc w:val="left"/>
            </w:pPr>
            <w:r>
              <w:rPr>
                <w:b/>
                <w:color w:val="FFFFFF"/>
                <w:sz w:val="18"/>
              </w:rPr>
              <w:t>Model</w:t>
            </w:r>
          </w:p>
        </w:tc>
        <w:tc>
          <w:tcPr>
            <w:tcW w:type="dxa" w:w="1080"/>
            <w:vAlign w:val="center"/>
            <w:shd w:fill="183B4A"/>
            <w:tcMar>
              <w:top w:w="80" w:type="dxa"/>
              <w:bottom w:w="80" w:type="dxa"/>
              <w:left w:w="80" w:type="dxa"/>
              <w:right w:w="80" w:type="dxa"/>
            </w:tcMar>
          </w:tcPr>
          <w:p>
            <w:pPr>
              <w:spacing w:after="40" w:before="40" w:line="252" w:lineRule="auto"/>
              <w:jc w:val="center"/>
            </w:pPr>
            <w:r>
              <w:rPr>
                <w:b/>
                <w:color w:val="FFFFFF"/>
                <w:sz w:val="18"/>
              </w:rPr>
              <w:t>AP</w:t>
            </w:r>
          </w:p>
        </w:tc>
        <w:tc>
          <w:tcPr>
            <w:tcW w:type="dxa" w:w="1368"/>
            <w:vAlign w:val="center"/>
            <w:shd w:fill="183B4A"/>
            <w:tcMar>
              <w:top w:w="80" w:type="dxa"/>
              <w:bottom w:w="80" w:type="dxa"/>
              <w:left w:w="80" w:type="dxa"/>
              <w:right w:w="80" w:type="dxa"/>
            </w:tcMar>
          </w:tcPr>
          <w:p>
            <w:pPr>
              <w:spacing w:after="40" w:before="40" w:line="252" w:lineRule="auto"/>
              <w:jc w:val="center"/>
            </w:pPr>
            <w:r>
              <w:rPr>
                <w:b/>
                <w:color w:val="FFFFFF"/>
                <w:sz w:val="18"/>
              </w:rPr>
              <w:t>Precision</w:t>
            </w:r>
          </w:p>
        </w:tc>
        <w:tc>
          <w:tcPr>
            <w:tcW w:type="dxa" w:w="1368"/>
            <w:vAlign w:val="center"/>
            <w:shd w:fill="183B4A"/>
            <w:tcMar>
              <w:top w:w="80" w:type="dxa"/>
              <w:bottom w:w="80" w:type="dxa"/>
              <w:left w:w="80" w:type="dxa"/>
              <w:right w:w="80" w:type="dxa"/>
            </w:tcMar>
          </w:tcPr>
          <w:p>
            <w:pPr>
              <w:spacing w:after="40" w:before="40" w:line="252" w:lineRule="auto"/>
              <w:jc w:val="center"/>
            </w:pPr>
            <w:r>
              <w:rPr>
                <w:b/>
                <w:color w:val="FFFFFF"/>
                <w:sz w:val="18"/>
              </w:rPr>
              <w:t>Recall</w:t>
            </w:r>
          </w:p>
        </w:tc>
        <w:tc>
          <w:tcPr>
            <w:tcW w:type="dxa" w:w="1080"/>
            <w:vAlign w:val="center"/>
            <w:shd w:fill="183B4A"/>
            <w:tcMar>
              <w:top w:w="80" w:type="dxa"/>
              <w:bottom w:w="80" w:type="dxa"/>
              <w:left w:w="80" w:type="dxa"/>
              <w:right w:w="80" w:type="dxa"/>
            </w:tcMar>
          </w:tcPr>
          <w:p>
            <w:pPr>
              <w:spacing w:after="40" w:before="40" w:line="252" w:lineRule="auto"/>
              <w:jc w:val="center"/>
            </w:pPr>
            <w:r>
              <w:rPr>
                <w:b/>
                <w:color w:val="FFFFFF"/>
                <w:sz w:val="18"/>
              </w:rPr>
              <w:t>F1</w:t>
            </w:r>
          </w:p>
        </w:tc>
        <w:tc>
          <w:tcPr>
            <w:tcW w:type="dxa" w:w="936"/>
            <w:vAlign w:val="center"/>
            <w:shd w:fill="183B4A"/>
            <w:tcMar>
              <w:top w:w="80" w:type="dxa"/>
              <w:bottom w:w="80" w:type="dxa"/>
              <w:left w:w="80" w:type="dxa"/>
              <w:right w:w="80" w:type="dxa"/>
            </w:tcMar>
          </w:tcPr>
          <w:p>
            <w:pPr>
              <w:spacing w:after="40" w:before="40" w:line="252" w:lineRule="auto"/>
              <w:jc w:val="center"/>
            </w:pPr>
            <w:r>
              <w:rPr>
                <w:b/>
                <w:color w:val="FFFFFF"/>
                <w:sz w:val="18"/>
              </w:rPr>
              <w:t>FP / FN</w:t>
            </w:r>
          </w:p>
        </w:tc>
      </w:tr>
      <w:tr>
        <w:trPr>
          <w:cantSplit/>
        </w:trPr>
        <w:tc>
          <w:tcPr>
            <w:tcW w:type="dxa" w:w="2376"/>
            <w:vAlign w:val="center"/>
            <w:shd w:fill="FFFFFF"/>
            <w:tcMar>
              <w:top w:w="80" w:type="dxa"/>
              <w:bottom w:w="80" w:type="dxa"/>
              <w:left w:w="80" w:type="dxa"/>
              <w:right w:w="80" w:type="dxa"/>
            </w:tcMar>
          </w:tcPr>
          <w:p>
            <w:pPr>
              <w:spacing w:after="40" w:before="40" w:line="252" w:lineRule="auto"/>
              <w:jc w:val="left"/>
            </w:pPr>
            <w:r>
              <w:rPr>
                <w:b w:val="0"/>
                <w:color w:val="000000"/>
                <w:sz w:val="18"/>
              </w:rPr>
              <w:t>Logistic Regression</w:t>
            </w:r>
          </w:p>
        </w:tc>
        <w:tc>
          <w:tcPr>
            <w:tcW w:type="dxa" w:w="1080"/>
            <w:vAlign w:val="center"/>
            <w:shd w:fill="FFFFFF"/>
            <w:tcMar>
              <w:top w:w="80" w:type="dxa"/>
              <w:bottom w:w="80" w:type="dxa"/>
              <w:left w:w="80" w:type="dxa"/>
              <w:right w:w="80" w:type="dxa"/>
            </w:tcMar>
          </w:tcPr>
          <w:p>
            <w:pPr>
              <w:spacing w:after="40" w:before="40" w:line="252" w:lineRule="auto"/>
              <w:jc w:val="center"/>
            </w:pPr>
            <w:r>
              <w:rPr>
                <w:b w:val="0"/>
                <w:color w:val="000000"/>
                <w:sz w:val="18"/>
              </w:rPr>
              <w:t>0.8525</w:t>
            </w:r>
          </w:p>
        </w:tc>
        <w:tc>
          <w:tcPr>
            <w:tcW w:type="dxa" w:w="1368"/>
            <w:vAlign w:val="center"/>
            <w:shd w:fill="FFFFFF"/>
            <w:tcMar>
              <w:top w:w="80" w:type="dxa"/>
              <w:bottom w:w="80" w:type="dxa"/>
              <w:left w:w="80" w:type="dxa"/>
              <w:right w:w="80" w:type="dxa"/>
            </w:tcMar>
          </w:tcPr>
          <w:p>
            <w:pPr>
              <w:spacing w:after="40" w:before="40" w:line="252" w:lineRule="auto"/>
              <w:jc w:val="center"/>
            </w:pPr>
            <w:r>
              <w:rPr>
                <w:b w:val="0"/>
                <w:color w:val="000000"/>
                <w:sz w:val="18"/>
              </w:rPr>
              <w:t>60.66%</w:t>
            </w:r>
          </w:p>
        </w:tc>
        <w:tc>
          <w:tcPr>
            <w:tcW w:type="dxa" w:w="1368"/>
            <w:vAlign w:val="center"/>
            <w:shd w:fill="FFFFFF"/>
            <w:tcMar>
              <w:top w:w="80" w:type="dxa"/>
              <w:bottom w:w="80" w:type="dxa"/>
              <w:left w:w="80" w:type="dxa"/>
              <w:right w:w="80" w:type="dxa"/>
            </w:tcMar>
          </w:tcPr>
          <w:p>
            <w:pPr>
              <w:spacing w:after="40" w:before="40" w:line="252" w:lineRule="auto"/>
              <w:jc w:val="center"/>
            </w:pPr>
            <w:r>
              <w:rPr>
                <w:b w:val="0"/>
                <w:color w:val="000000"/>
                <w:sz w:val="18"/>
              </w:rPr>
              <w:t>92.50%</w:t>
            </w:r>
          </w:p>
        </w:tc>
        <w:tc>
          <w:tcPr>
            <w:tcW w:type="dxa" w:w="1080"/>
            <w:vAlign w:val="center"/>
            <w:shd w:fill="FFFFFF"/>
            <w:tcMar>
              <w:top w:w="80" w:type="dxa"/>
              <w:bottom w:w="80" w:type="dxa"/>
              <w:left w:w="80" w:type="dxa"/>
              <w:right w:w="80" w:type="dxa"/>
            </w:tcMar>
          </w:tcPr>
          <w:p>
            <w:pPr>
              <w:spacing w:after="40" w:before="40" w:line="252" w:lineRule="auto"/>
              <w:jc w:val="center"/>
            </w:pPr>
            <w:r>
              <w:rPr>
                <w:b w:val="0"/>
                <w:color w:val="000000"/>
                <w:sz w:val="18"/>
              </w:rPr>
              <w:t>0.7327</w:t>
            </w:r>
          </w:p>
        </w:tc>
        <w:tc>
          <w:tcPr>
            <w:tcW w:type="dxa" w:w="936"/>
            <w:vAlign w:val="center"/>
            <w:shd w:fill="FFFFFF"/>
            <w:tcMar>
              <w:top w:w="80" w:type="dxa"/>
              <w:bottom w:w="80" w:type="dxa"/>
              <w:left w:w="80" w:type="dxa"/>
              <w:right w:w="80" w:type="dxa"/>
            </w:tcMar>
          </w:tcPr>
          <w:p>
            <w:pPr>
              <w:spacing w:after="40" w:before="40" w:line="252" w:lineRule="auto"/>
              <w:jc w:val="center"/>
            </w:pPr>
            <w:r>
              <w:rPr>
                <w:b w:val="0"/>
                <w:color w:val="000000"/>
                <w:sz w:val="18"/>
              </w:rPr>
              <w:t>24 / 3</w:t>
            </w:r>
          </w:p>
        </w:tc>
      </w:tr>
      <w:tr>
        <w:trPr>
          <w:cantSplit/>
        </w:trPr>
        <w:tc>
          <w:tcPr>
            <w:tcW w:type="dxa" w:w="2376"/>
            <w:vAlign w:val="center"/>
            <w:shd w:fill="F1F5F6"/>
            <w:tcMar>
              <w:top w:w="80" w:type="dxa"/>
              <w:bottom w:w="80" w:type="dxa"/>
              <w:left w:w="80" w:type="dxa"/>
              <w:right w:w="80" w:type="dxa"/>
            </w:tcMar>
          </w:tcPr>
          <w:p>
            <w:pPr>
              <w:spacing w:after="40" w:before="40" w:line="252" w:lineRule="auto"/>
              <w:jc w:val="left"/>
            </w:pPr>
            <w:r>
              <w:rPr>
                <w:b w:val="0"/>
                <w:color w:val="000000"/>
                <w:sz w:val="18"/>
              </w:rPr>
              <w:t>Random Forest</w:t>
            </w:r>
          </w:p>
        </w:tc>
        <w:tc>
          <w:tcPr>
            <w:tcW w:type="dxa" w:w="1080"/>
            <w:vAlign w:val="center"/>
            <w:shd w:fill="F1F5F6"/>
            <w:tcMar>
              <w:top w:w="80" w:type="dxa"/>
              <w:bottom w:w="80" w:type="dxa"/>
              <w:left w:w="80" w:type="dxa"/>
              <w:right w:w="80" w:type="dxa"/>
            </w:tcMar>
          </w:tcPr>
          <w:p>
            <w:pPr>
              <w:spacing w:after="40" w:before="40" w:line="252" w:lineRule="auto"/>
              <w:jc w:val="center"/>
            </w:pPr>
            <w:r>
              <w:rPr>
                <w:b w:val="0"/>
                <w:color w:val="000000"/>
                <w:sz w:val="18"/>
              </w:rPr>
              <w:t>1.0000</w:t>
            </w:r>
          </w:p>
        </w:tc>
        <w:tc>
          <w:tcPr>
            <w:tcW w:type="dxa" w:w="1368"/>
            <w:vAlign w:val="center"/>
            <w:shd w:fill="F1F5F6"/>
            <w:tcMar>
              <w:top w:w="80" w:type="dxa"/>
              <w:bottom w:w="80" w:type="dxa"/>
              <w:left w:w="80" w:type="dxa"/>
              <w:right w:w="80" w:type="dxa"/>
            </w:tcMar>
          </w:tcPr>
          <w:p>
            <w:pPr>
              <w:spacing w:after="40" w:before="40" w:line="252" w:lineRule="auto"/>
              <w:jc w:val="center"/>
            </w:pPr>
            <w:r>
              <w:rPr>
                <w:b w:val="0"/>
                <w:color w:val="000000"/>
                <w:sz w:val="18"/>
              </w:rPr>
              <w:t>100.00%</w:t>
            </w:r>
          </w:p>
        </w:tc>
        <w:tc>
          <w:tcPr>
            <w:tcW w:type="dxa" w:w="1368"/>
            <w:vAlign w:val="center"/>
            <w:shd w:fill="F1F5F6"/>
            <w:tcMar>
              <w:top w:w="80" w:type="dxa"/>
              <w:bottom w:w="80" w:type="dxa"/>
              <w:left w:w="80" w:type="dxa"/>
              <w:right w:w="80" w:type="dxa"/>
            </w:tcMar>
          </w:tcPr>
          <w:p>
            <w:pPr>
              <w:spacing w:after="40" w:before="40" w:line="252" w:lineRule="auto"/>
              <w:jc w:val="center"/>
            </w:pPr>
            <w:r>
              <w:rPr>
                <w:b w:val="0"/>
                <w:color w:val="000000"/>
                <w:sz w:val="18"/>
              </w:rPr>
              <w:t>97.50%</w:t>
            </w:r>
          </w:p>
        </w:tc>
        <w:tc>
          <w:tcPr>
            <w:tcW w:type="dxa" w:w="1080"/>
            <w:vAlign w:val="center"/>
            <w:shd w:fill="F1F5F6"/>
            <w:tcMar>
              <w:top w:w="80" w:type="dxa"/>
              <w:bottom w:w="80" w:type="dxa"/>
              <w:left w:w="80" w:type="dxa"/>
              <w:right w:w="80" w:type="dxa"/>
            </w:tcMar>
          </w:tcPr>
          <w:p>
            <w:pPr>
              <w:spacing w:after="40" w:before="40" w:line="252" w:lineRule="auto"/>
              <w:jc w:val="center"/>
            </w:pPr>
            <w:r>
              <w:rPr>
                <w:b w:val="0"/>
                <w:color w:val="000000"/>
                <w:sz w:val="18"/>
              </w:rPr>
              <w:t>0.9873</w:t>
            </w:r>
          </w:p>
        </w:tc>
        <w:tc>
          <w:tcPr>
            <w:tcW w:type="dxa" w:w="936"/>
            <w:vAlign w:val="center"/>
            <w:shd w:fill="F1F5F6"/>
            <w:tcMar>
              <w:top w:w="80" w:type="dxa"/>
              <w:bottom w:w="80" w:type="dxa"/>
              <w:left w:w="80" w:type="dxa"/>
              <w:right w:w="80" w:type="dxa"/>
            </w:tcMar>
          </w:tcPr>
          <w:p>
            <w:pPr>
              <w:spacing w:after="40" w:before="40" w:line="252" w:lineRule="auto"/>
              <w:jc w:val="center"/>
            </w:pPr>
            <w:r>
              <w:rPr>
                <w:b w:val="0"/>
                <w:color w:val="000000"/>
                <w:sz w:val="18"/>
              </w:rPr>
              <w:t>0 / 1</w:t>
            </w:r>
          </w:p>
        </w:tc>
      </w:tr>
      <w:tr>
        <w:trPr>
          <w:cantSplit/>
        </w:trPr>
        <w:tc>
          <w:tcPr>
            <w:tcW w:type="dxa" w:w="2376"/>
            <w:vAlign w:val="center"/>
            <w:shd w:fill="FFFFFF"/>
            <w:tcMar>
              <w:top w:w="80" w:type="dxa"/>
              <w:bottom w:w="80" w:type="dxa"/>
              <w:left w:w="80" w:type="dxa"/>
              <w:right w:w="80" w:type="dxa"/>
            </w:tcMar>
          </w:tcPr>
          <w:p>
            <w:pPr>
              <w:spacing w:after="40" w:before="40" w:line="252" w:lineRule="auto"/>
              <w:jc w:val="left"/>
            </w:pPr>
            <w:r>
              <w:rPr>
                <w:b w:val="0"/>
                <w:color w:val="000000"/>
                <w:sz w:val="18"/>
              </w:rPr>
              <w:t>XGBoost</w:t>
            </w:r>
          </w:p>
        </w:tc>
        <w:tc>
          <w:tcPr>
            <w:tcW w:type="dxa" w:w="1080"/>
            <w:vAlign w:val="center"/>
            <w:shd w:fill="FFFFFF"/>
            <w:tcMar>
              <w:top w:w="80" w:type="dxa"/>
              <w:bottom w:w="80" w:type="dxa"/>
              <w:left w:w="80" w:type="dxa"/>
              <w:right w:w="80" w:type="dxa"/>
            </w:tcMar>
          </w:tcPr>
          <w:p>
            <w:pPr>
              <w:spacing w:after="40" w:before="40" w:line="252" w:lineRule="auto"/>
              <w:jc w:val="center"/>
            </w:pPr>
            <w:r>
              <w:rPr>
                <w:b w:val="0"/>
                <w:color w:val="000000"/>
                <w:sz w:val="18"/>
              </w:rPr>
              <w:t>1.0000</w:t>
            </w:r>
          </w:p>
        </w:tc>
        <w:tc>
          <w:tcPr>
            <w:tcW w:type="dxa" w:w="1368"/>
            <w:vAlign w:val="center"/>
            <w:shd w:fill="FFFFFF"/>
            <w:tcMar>
              <w:top w:w="80" w:type="dxa"/>
              <w:bottom w:w="80" w:type="dxa"/>
              <w:left w:w="80" w:type="dxa"/>
              <w:right w:w="80" w:type="dxa"/>
            </w:tcMar>
          </w:tcPr>
          <w:p>
            <w:pPr>
              <w:spacing w:after="40" w:before="40" w:line="252" w:lineRule="auto"/>
              <w:jc w:val="center"/>
            </w:pPr>
            <w:r>
              <w:rPr>
                <w:b w:val="0"/>
                <w:color w:val="000000"/>
                <w:sz w:val="18"/>
              </w:rPr>
              <w:t>97.56%</w:t>
            </w:r>
          </w:p>
        </w:tc>
        <w:tc>
          <w:tcPr>
            <w:tcW w:type="dxa" w:w="1368"/>
            <w:vAlign w:val="center"/>
            <w:shd w:fill="FFFFFF"/>
            <w:tcMar>
              <w:top w:w="80" w:type="dxa"/>
              <w:bottom w:w="80" w:type="dxa"/>
              <w:left w:w="80" w:type="dxa"/>
              <w:right w:w="80" w:type="dxa"/>
            </w:tcMar>
          </w:tcPr>
          <w:p>
            <w:pPr>
              <w:spacing w:after="40" w:before="40" w:line="252" w:lineRule="auto"/>
              <w:jc w:val="center"/>
            </w:pPr>
            <w:r>
              <w:rPr>
                <w:b w:val="0"/>
                <w:color w:val="000000"/>
                <w:sz w:val="18"/>
              </w:rPr>
              <w:t>100.00%</w:t>
            </w:r>
          </w:p>
        </w:tc>
        <w:tc>
          <w:tcPr>
            <w:tcW w:type="dxa" w:w="1080"/>
            <w:vAlign w:val="center"/>
            <w:shd w:fill="FFFFFF"/>
            <w:tcMar>
              <w:top w:w="80" w:type="dxa"/>
              <w:bottom w:w="80" w:type="dxa"/>
              <w:left w:w="80" w:type="dxa"/>
              <w:right w:w="80" w:type="dxa"/>
            </w:tcMar>
          </w:tcPr>
          <w:p>
            <w:pPr>
              <w:spacing w:after="40" w:before="40" w:line="252" w:lineRule="auto"/>
              <w:jc w:val="center"/>
            </w:pPr>
            <w:r>
              <w:rPr>
                <w:b w:val="0"/>
                <w:color w:val="000000"/>
                <w:sz w:val="18"/>
              </w:rPr>
              <w:t>0.9877</w:t>
            </w:r>
          </w:p>
        </w:tc>
        <w:tc>
          <w:tcPr>
            <w:tcW w:type="dxa" w:w="936"/>
            <w:vAlign w:val="center"/>
            <w:shd w:fill="FFFFFF"/>
            <w:tcMar>
              <w:top w:w="80" w:type="dxa"/>
              <w:bottom w:w="80" w:type="dxa"/>
              <w:left w:w="80" w:type="dxa"/>
              <w:right w:w="80" w:type="dxa"/>
            </w:tcMar>
          </w:tcPr>
          <w:p>
            <w:pPr>
              <w:spacing w:after="40" w:before="40" w:line="252" w:lineRule="auto"/>
              <w:jc w:val="center"/>
            </w:pPr>
            <w:r>
              <w:rPr>
                <w:b w:val="0"/>
                <w:color w:val="000000"/>
                <w:sz w:val="18"/>
              </w:rPr>
              <w:t>1 / 0</w:t>
            </w:r>
          </w:p>
        </w:tc>
      </w:tr>
      <w:tr>
        <w:trPr>
          <w:cantSplit/>
        </w:trPr>
        <w:tc>
          <w:tcPr>
            <w:tcW w:type="dxa" w:w="2376"/>
            <w:vAlign w:val="center"/>
            <w:shd w:fill="F1F5F6"/>
            <w:tcMar>
              <w:top w:w="80" w:type="dxa"/>
              <w:bottom w:w="80" w:type="dxa"/>
              <w:left w:w="80" w:type="dxa"/>
              <w:right w:w="80" w:type="dxa"/>
            </w:tcMar>
          </w:tcPr>
          <w:p>
            <w:pPr>
              <w:spacing w:after="40" w:before="40" w:line="252" w:lineRule="auto"/>
              <w:jc w:val="left"/>
            </w:pPr>
            <w:r>
              <w:rPr>
                <w:b w:val="0"/>
                <w:color w:val="000000"/>
                <w:sz w:val="18"/>
              </w:rPr>
              <w:t>SVM</w:t>
            </w:r>
          </w:p>
        </w:tc>
        <w:tc>
          <w:tcPr>
            <w:tcW w:type="dxa" w:w="1080"/>
            <w:vAlign w:val="center"/>
            <w:shd w:fill="F1F5F6"/>
            <w:tcMar>
              <w:top w:w="80" w:type="dxa"/>
              <w:bottom w:w="80" w:type="dxa"/>
              <w:left w:w="80" w:type="dxa"/>
              <w:right w:w="80" w:type="dxa"/>
            </w:tcMar>
          </w:tcPr>
          <w:p>
            <w:pPr>
              <w:spacing w:after="40" w:before="40" w:line="252" w:lineRule="auto"/>
              <w:jc w:val="center"/>
            </w:pPr>
            <w:r>
              <w:rPr>
                <w:b w:val="0"/>
                <w:color w:val="000000"/>
                <w:sz w:val="18"/>
              </w:rPr>
              <w:t>0.8181</w:t>
            </w:r>
          </w:p>
        </w:tc>
        <w:tc>
          <w:tcPr>
            <w:tcW w:type="dxa" w:w="1368"/>
            <w:vAlign w:val="center"/>
            <w:shd w:fill="F1F5F6"/>
            <w:tcMar>
              <w:top w:w="80" w:type="dxa"/>
              <w:bottom w:w="80" w:type="dxa"/>
              <w:left w:w="80" w:type="dxa"/>
              <w:right w:w="80" w:type="dxa"/>
            </w:tcMar>
          </w:tcPr>
          <w:p>
            <w:pPr>
              <w:spacing w:after="40" w:before="40" w:line="252" w:lineRule="auto"/>
              <w:jc w:val="center"/>
            </w:pPr>
            <w:r>
              <w:rPr>
                <w:b w:val="0"/>
                <w:color w:val="000000"/>
                <w:sz w:val="18"/>
              </w:rPr>
              <w:t>74.42%</w:t>
            </w:r>
          </w:p>
        </w:tc>
        <w:tc>
          <w:tcPr>
            <w:tcW w:type="dxa" w:w="1368"/>
            <w:vAlign w:val="center"/>
            <w:shd w:fill="F1F5F6"/>
            <w:tcMar>
              <w:top w:w="80" w:type="dxa"/>
              <w:bottom w:w="80" w:type="dxa"/>
              <w:left w:w="80" w:type="dxa"/>
              <w:right w:w="80" w:type="dxa"/>
            </w:tcMar>
          </w:tcPr>
          <w:p>
            <w:pPr>
              <w:spacing w:after="40" w:before="40" w:line="252" w:lineRule="auto"/>
              <w:jc w:val="center"/>
            </w:pPr>
            <w:r>
              <w:rPr>
                <w:b w:val="0"/>
                <w:color w:val="000000"/>
                <w:sz w:val="18"/>
              </w:rPr>
              <w:t>80.00%</w:t>
            </w:r>
          </w:p>
        </w:tc>
        <w:tc>
          <w:tcPr>
            <w:tcW w:type="dxa" w:w="1080"/>
            <w:vAlign w:val="center"/>
            <w:shd w:fill="F1F5F6"/>
            <w:tcMar>
              <w:top w:w="80" w:type="dxa"/>
              <w:bottom w:w="80" w:type="dxa"/>
              <w:left w:w="80" w:type="dxa"/>
              <w:right w:w="80" w:type="dxa"/>
            </w:tcMar>
          </w:tcPr>
          <w:p>
            <w:pPr>
              <w:spacing w:after="40" w:before="40" w:line="252" w:lineRule="auto"/>
              <w:jc w:val="center"/>
            </w:pPr>
            <w:r>
              <w:rPr>
                <w:b w:val="0"/>
                <w:color w:val="000000"/>
                <w:sz w:val="18"/>
              </w:rPr>
              <w:t>0.7711</w:t>
            </w:r>
          </w:p>
        </w:tc>
        <w:tc>
          <w:tcPr>
            <w:tcW w:type="dxa" w:w="936"/>
            <w:vAlign w:val="center"/>
            <w:shd w:fill="F1F5F6"/>
            <w:tcMar>
              <w:top w:w="80" w:type="dxa"/>
              <w:bottom w:w="80" w:type="dxa"/>
              <w:left w:w="80" w:type="dxa"/>
              <w:right w:w="80" w:type="dxa"/>
            </w:tcMar>
          </w:tcPr>
          <w:p>
            <w:pPr>
              <w:spacing w:after="40" w:before="40" w:line="252" w:lineRule="auto"/>
              <w:jc w:val="center"/>
            </w:pPr>
            <w:r>
              <w:rPr>
                <w:b w:val="0"/>
                <w:color w:val="000000"/>
                <w:sz w:val="18"/>
              </w:rPr>
              <w:t>11 / 8</w:t>
            </w:r>
          </w:p>
        </w:tc>
      </w:tr>
      <w:tr>
        <w:trPr>
          <w:cantSplit/>
        </w:trPr>
        <w:tc>
          <w:tcPr>
            <w:tcW w:type="dxa" w:w="2376"/>
            <w:vAlign w:val="center"/>
            <w:shd w:fill="FFFFFF"/>
            <w:tcMar>
              <w:top w:w="80" w:type="dxa"/>
              <w:bottom w:w="80" w:type="dxa"/>
              <w:left w:w="80" w:type="dxa"/>
              <w:right w:w="80" w:type="dxa"/>
            </w:tcMar>
          </w:tcPr>
          <w:p>
            <w:pPr>
              <w:spacing w:after="40" w:before="40" w:line="252" w:lineRule="auto"/>
              <w:jc w:val="left"/>
            </w:pPr>
            <w:r>
              <w:rPr>
                <w:b w:val="0"/>
                <w:color w:val="000000"/>
                <w:sz w:val="18"/>
              </w:rPr>
              <w:t>Histogram GB</w:t>
            </w:r>
          </w:p>
        </w:tc>
        <w:tc>
          <w:tcPr>
            <w:tcW w:type="dxa" w:w="1080"/>
            <w:vAlign w:val="center"/>
            <w:shd w:fill="FFFFFF"/>
            <w:tcMar>
              <w:top w:w="80" w:type="dxa"/>
              <w:bottom w:w="80" w:type="dxa"/>
              <w:left w:w="80" w:type="dxa"/>
              <w:right w:w="80" w:type="dxa"/>
            </w:tcMar>
          </w:tcPr>
          <w:p>
            <w:pPr>
              <w:spacing w:after="40" w:before="40" w:line="252" w:lineRule="auto"/>
              <w:jc w:val="center"/>
            </w:pPr>
            <w:r>
              <w:rPr>
                <w:b w:val="0"/>
                <w:color w:val="000000"/>
                <w:sz w:val="18"/>
              </w:rPr>
              <w:t>0.9765</w:t>
            </w:r>
          </w:p>
        </w:tc>
        <w:tc>
          <w:tcPr>
            <w:tcW w:type="dxa" w:w="1368"/>
            <w:vAlign w:val="center"/>
            <w:shd w:fill="FFFFFF"/>
            <w:tcMar>
              <w:top w:w="80" w:type="dxa"/>
              <w:bottom w:w="80" w:type="dxa"/>
              <w:left w:w="80" w:type="dxa"/>
              <w:right w:w="80" w:type="dxa"/>
            </w:tcMar>
          </w:tcPr>
          <w:p>
            <w:pPr>
              <w:spacing w:after="40" w:before="40" w:line="252" w:lineRule="auto"/>
              <w:jc w:val="center"/>
            </w:pPr>
            <w:r>
              <w:rPr>
                <w:b w:val="0"/>
                <w:color w:val="000000"/>
                <w:sz w:val="18"/>
              </w:rPr>
              <w:t>100.00%</w:t>
            </w:r>
          </w:p>
        </w:tc>
        <w:tc>
          <w:tcPr>
            <w:tcW w:type="dxa" w:w="1368"/>
            <w:vAlign w:val="center"/>
            <w:shd w:fill="FFFFFF"/>
            <w:tcMar>
              <w:top w:w="80" w:type="dxa"/>
              <w:bottom w:w="80" w:type="dxa"/>
              <w:left w:w="80" w:type="dxa"/>
              <w:right w:w="80" w:type="dxa"/>
            </w:tcMar>
          </w:tcPr>
          <w:p>
            <w:pPr>
              <w:spacing w:after="40" w:before="40" w:line="252" w:lineRule="auto"/>
              <w:jc w:val="center"/>
            </w:pPr>
            <w:r>
              <w:rPr>
                <w:b w:val="0"/>
                <w:color w:val="000000"/>
                <w:sz w:val="18"/>
              </w:rPr>
              <w:t>97.50%</w:t>
            </w:r>
          </w:p>
        </w:tc>
        <w:tc>
          <w:tcPr>
            <w:tcW w:type="dxa" w:w="1080"/>
            <w:vAlign w:val="center"/>
            <w:shd w:fill="FFFFFF"/>
            <w:tcMar>
              <w:top w:w="80" w:type="dxa"/>
              <w:bottom w:w="80" w:type="dxa"/>
              <w:left w:w="80" w:type="dxa"/>
              <w:right w:w="80" w:type="dxa"/>
            </w:tcMar>
          </w:tcPr>
          <w:p>
            <w:pPr>
              <w:spacing w:after="40" w:before="40" w:line="252" w:lineRule="auto"/>
              <w:jc w:val="center"/>
            </w:pPr>
            <w:r>
              <w:rPr>
                <w:b w:val="0"/>
                <w:color w:val="000000"/>
                <w:sz w:val="18"/>
              </w:rPr>
              <w:t>0.9873</w:t>
            </w:r>
          </w:p>
        </w:tc>
        <w:tc>
          <w:tcPr>
            <w:tcW w:type="dxa" w:w="936"/>
            <w:vAlign w:val="center"/>
            <w:shd w:fill="FFFFFF"/>
            <w:tcMar>
              <w:top w:w="80" w:type="dxa"/>
              <w:bottom w:w="80" w:type="dxa"/>
              <w:left w:w="80" w:type="dxa"/>
              <w:right w:w="80" w:type="dxa"/>
            </w:tcMar>
          </w:tcPr>
          <w:p>
            <w:pPr>
              <w:spacing w:after="40" w:before="40" w:line="252" w:lineRule="auto"/>
              <w:jc w:val="center"/>
            </w:pPr>
            <w:r>
              <w:rPr>
                <w:b w:val="0"/>
                <w:color w:val="000000"/>
                <w:sz w:val="18"/>
              </w:rPr>
              <w:t>0 / 1</w:t>
            </w:r>
          </w:p>
        </w:tc>
      </w:tr>
      <w:tr>
        <w:trPr>
          <w:cantSplit/>
        </w:trPr>
        <w:tc>
          <w:tcPr>
            <w:tcW w:type="dxa" w:w="2376"/>
            <w:vAlign w:val="center"/>
            <w:shd w:fill="F1F5F6"/>
            <w:tcMar>
              <w:top w:w="80" w:type="dxa"/>
              <w:bottom w:w="80" w:type="dxa"/>
              <w:left w:w="80" w:type="dxa"/>
              <w:right w:w="80" w:type="dxa"/>
            </w:tcMar>
          </w:tcPr>
          <w:p>
            <w:pPr>
              <w:spacing w:after="40" w:before="40" w:line="252" w:lineRule="auto"/>
              <w:jc w:val="left"/>
            </w:pPr>
            <w:r>
              <w:rPr>
                <w:b w:val="0"/>
                <w:color w:val="000000"/>
                <w:sz w:val="18"/>
              </w:rPr>
              <w:t>MLP</w:t>
            </w:r>
          </w:p>
        </w:tc>
        <w:tc>
          <w:tcPr>
            <w:tcW w:type="dxa" w:w="1080"/>
            <w:vAlign w:val="center"/>
            <w:shd w:fill="F1F5F6"/>
            <w:tcMar>
              <w:top w:w="80" w:type="dxa"/>
              <w:bottom w:w="80" w:type="dxa"/>
              <w:left w:w="80" w:type="dxa"/>
              <w:right w:w="80" w:type="dxa"/>
            </w:tcMar>
          </w:tcPr>
          <w:p>
            <w:pPr>
              <w:spacing w:after="40" w:before="40" w:line="252" w:lineRule="auto"/>
              <w:jc w:val="center"/>
            </w:pPr>
            <w:r>
              <w:rPr>
                <w:b w:val="0"/>
                <w:color w:val="000000"/>
                <w:sz w:val="18"/>
              </w:rPr>
              <w:t>0.8866</w:t>
            </w:r>
          </w:p>
        </w:tc>
        <w:tc>
          <w:tcPr>
            <w:tcW w:type="dxa" w:w="1368"/>
            <w:vAlign w:val="center"/>
            <w:shd w:fill="F1F5F6"/>
            <w:tcMar>
              <w:top w:w="80" w:type="dxa"/>
              <w:bottom w:w="80" w:type="dxa"/>
              <w:left w:w="80" w:type="dxa"/>
              <w:right w:w="80" w:type="dxa"/>
            </w:tcMar>
          </w:tcPr>
          <w:p>
            <w:pPr>
              <w:spacing w:after="40" w:before="40" w:line="252" w:lineRule="auto"/>
              <w:jc w:val="center"/>
            </w:pPr>
            <w:r>
              <w:rPr>
                <w:b w:val="0"/>
                <w:color w:val="000000"/>
                <w:sz w:val="18"/>
              </w:rPr>
              <w:t>74.00%</w:t>
            </w:r>
          </w:p>
        </w:tc>
        <w:tc>
          <w:tcPr>
            <w:tcW w:type="dxa" w:w="1368"/>
            <w:vAlign w:val="center"/>
            <w:shd w:fill="F1F5F6"/>
            <w:tcMar>
              <w:top w:w="80" w:type="dxa"/>
              <w:bottom w:w="80" w:type="dxa"/>
              <w:left w:w="80" w:type="dxa"/>
              <w:right w:w="80" w:type="dxa"/>
            </w:tcMar>
          </w:tcPr>
          <w:p>
            <w:pPr>
              <w:spacing w:after="40" w:before="40" w:line="252" w:lineRule="auto"/>
              <w:jc w:val="center"/>
            </w:pPr>
            <w:r>
              <w:rPr>
                <w:b w:val="0"/>
                <w:color w:val="000000"/>
                <w:sz w:val="18"/>
              </w:rPr>
              <w:t>92.50%</w:t>
            </w:r>
          </w:p>
        </w:tc>
        <w:tc>
          <w:tcPr>
            <w:tcW w:type="dxa" w:w="1080"/>
            <w:vAlign w:val="center"/>
            <w:shd w:fill="F1F5F6"/>
            <w:tcMar>
              <w:top w:w="80" w:type="dxa"/>
              <w:bottom w:w="80" w:type="dxa"/>
              <w:left w:w="80" w:type="dxa"/>
              <w:right w:w="80" w:type="dxa"/>
            </w:tcMar>
          </w:tcPr>
          <w:p>
            <w:pPr>
              <w:spacing w:after="40" w:before="40" w:line="252" w:lineRule="auto"/>
              <w:jc w:val="center"/>
            </w:pPr>
            <w:r>
              <w:rPr>
                <w:b w:val="0"/>
                <w:color w:val="000000"/>
                <w:sz w:val="18"/>
              </w:rPr>
              <w:t>0.8222</w:t>
            </w:r>
          </w:p>
        </w:tc>
        <w:tc>
          <w:tcPr>
            <w:tcW w:type="dxa" w:w="936"/>
            <w:vAlign w:val="center"/>
            <w:shd w:fill="F1F5F6"/>
            <w:tcMar>
              <w:top w:w="80" w:type="dxa"/>
              <w:bottom w:w="80" w:type="dxa"/>
              <w:left w:w="80" w:type="dxa"/>
              <w:right w:w="80" w:type="dxa"/>
            </w:tcMar>
          </w:tcPr>
          <w:p>
            <w:pPr>
              <w:spacing w:after="40" w:before="40" w:line="252" w:lineRule="auto"/>
              <w:jc w:val="center"/>
            </w:pPr>
            <w:r>
              <w:rPr>
                <w:b w:val="0"/>
                <w:color w:val="000000"/>
                <w:sz w:val="18"/>
              </w:rPr>
              <w:t>13 / 3</w:t>
            </w:r>
          </w:p>
        </w:tc>
      </w:tr>
      <w:tr>
        <w:trPr>
          <w:cantSplit/>
        </w:trPr>
        <w:tc>
          <w:tcPr>
            <w:tcW w:type="dxa" w:w="2376"/>
            <w:vAlign w:val="center"/>
            <w:shd w:fill="FFFFFF"/>
            <w:tcMar>
              <w:top w:w="80" w:type="dxa"/>
              <w:bottom w:w="80" w:type="dxa"/>
              <w:left w:w="80" w:type="dxa"/>
              <w:right w:w="80" w:type="dxa"/>
            </w:tcMar>
          </w:tcPr>
          <w:p>
            <w:pPr>
              <w:spacing w:after="40" w:before="40" w:line="252" w:lineRule="auto"/>
              <w:jc w:val="left"/>
            </w:pPr>
            <w:r>
              <w:rPr>
                <w:b w:val="0"/>
                <w:color w:val="000000"/>
                <w:sz w:val="18"/>
              </w:rPr>
              <w:t>Residual MLP</w:t>
            </w:r>
          </w:p>
        </w:tc>
        <w:tc>
          <w:tcPr>
            <w:tcW w:type="dxa" w:w="1080"/>
            <w:vAlign w:val="center"/>
            <w:shd w:fill="FFFFFF"/>
            <w:tcMar>
              <w:top w:w="80" w:type="dxa"/>
              <w:bottom w:w="80" w:type="dxa"/>
              <w:left w:w="80" w:type="dxa"/>
              <w:right w:w="80" w:type="dxa"/>
            </w:tcMar>
          </w:tcPr>
          <w:p>
            <w:pPr>
              <w:spacing w:after="40" w:before="40" w:line="252" w:lineRule="auto"/>
              <w:jc w:val="center"/>
            </w:pPr>
            <w:r>
              <w:rPr>
                <w:b w:val="0"/>
                <w:color w:val="000000"/>
                <w:sz w:val="18"/>
              </w:rPr>
              <w:t>0.8765</w:t>
            </w:r>
          </w:p>
        </w:tc>
        <w:tc>
          <w:tcPr>
            <w:tcW w:type="dxa" w:w="1368"/>
            <w:vAlign w:val="center"/>
            <w:shd w:fill="FFFFFF"/>
            <w:tcMar>
              <w:top w:w="80" w:type="dxa"/>
              <w:bottom w:w="80" w:type="dxa"/>
              <w:left w:w="80" w:type="dxa"/>
              <w:right w:w="80" w:type="dxa"/>
            </w:tcMar>
          </w:tcPr>
          <w:p>
            <w:pPr>
              <w:spacing w:after="40" w:before="40" w:line="252" w:lineRule="auto"/>
              <w:jc w:val="center"/>
            </w:pPr>
            <w:r>
              <w:rPr>
                <w:b w:val="0"/>
                <w:color w:val="000000"/>
                <w:sz w:val="18"/>
              </w:rPr>
              <w:t>75.51%</w:t>
            </w:r>
          </w:p>
        </w:tc>
        <w:tc>
          <w:tcPr>
            <w:tcW w:type="dxa" w:w="1368"/>
            <w:vAlign w:val="center"/>
            <w:shd w:fill="FFFFFF"/>
            <w:tcMar>
              <w:top w:w="80" w:type="dxa"/>
              <w:bottom w:w="80" w:type="dxa"/>
              <w:left w:w="80" w:type="dxa"/>
              <w:right w:w="80" w:type="dxa"/>
            </w:tcMar>
          </w:tcPr>
          <w:p>
            <w:pPr>
              <w:spacing w:after="40" w:before="40" w:line="252" w:lineRule="auto"/>
              <w:jc w:val="center"/>
            </w:pPr>
            <w:r>
              <w:rPr>
                <w:b w:val="0"/>
                <w:color w:val="000000"/>
                <w:sz w:val="18"/>
              </w:rPr>
              <w:t>92.50%</w:t>
            </w:r>
          </w:p>
        </w:tc>
        <w:tc>
          <w:tcPr>
            <w:tcW w:type="dxa" w:w="1080"/>
            <w:vAlign w:val="center"/>
            <w:shd w:fill="FFFFFF"/>
            <w:tcMar>
              <w:top w:w="80" w:type="dxa"/>
              <w:bottom w:w="80" w:type="dxa"/>
              <w:left w:w="80" w:type="dxa"/>
              <w:right w:w="80" w:type="dxa"/>
            </w:tcMar>
          </w:tcPr>
          <w:p>
            <w:pPr>
              <w:spacing w:after="40" w:before="40" w:line="252" w:lineRule="auto"/>
              <w:jc w:val="center"/>
            </w:pPr>
            <w:r>
              <w:rPr>
                <w:b w:val="0"/>
                <w:color w:val="000000"/>
                <w:sz w:val="18"/>
              </w:rPr>
              <w:t>0.8315</w:t>
            </w:r>
          </w:p>
        </w:tc>
        <w:tc>
          <w:tcPr>
            <w:tcW w:type="dxa" w:w="936"/>
            <w:vAlign w:val="center"/>
            <w:shd w:fill="FFFFFF"/>
            <w:tcMar>
              <w:top w:w="80" w:type="dxa"/>
              <w:bottom w:w="80" w:type="dxa"/>
              <w:left w:w="80" w:type="dxa"/>
              <w:right w:w="80" w:type="dxa"/>
            </w:tcMar>
          </w:tcPr>
          <w:p>
            <w:pPr>
              <w:spacing w:after="40" w:before="40" w:line="252" w:lineRule="auto"/>
              <w:jc w:val="center"/>
            </w:pPr>
            <w:r>
              <w:rPr>
                <w:b w:val="0"/>
                <w:color w:val="000000"/>
                <w:sz w:val="18"/>
              </w:rPr>
              <w:t>12 / 3</w:t>
            </w:r>
          </w:p>
        </w:tc>
      </w:tr>
      <w:tr>
        <w:trPr>
          <w:cantSplit/>
        </w:trPr>
        <w:tc>
          <w:tcPr>
            <w:tcW w:type="dxa" w:w="2376"/>
            <w:vAlign w:val="center"/>
            <w:shd w:fill="F1F5F6"/>
            <w:tcMar>
              <w:top w:w="80" w:type="dxa"/>
              <w:bottom w:w="80" w:type="dxa"/>
              <w:left w:w="80" w:type="dxa"/>
              <w:right w:w="80" w:type="dxa"/>
            </w:tcMar>
          </w:tcPr>
          <w:p>
            <w:pPr>
              <w:spacing w:after="40" w:before="40" w:line="252" w:lineRule="auto"/>
              <w:jc w:val="left"/>
            </w:pPr>
            <w:r>
              <w:rPr>
                <w:b w:val="0"/>
                <w:color w:val="000000"/>
                <w:sz w:val="18"/>
              </w:rPr>
              <w:t>1D CNN</w:t>
            </w:r>
          </w:p>
        </w:tc>
        <w:tc>
          <w:tcPr>
            <w:tcW w:type="dxa" w:w="1080"/>
            <w:vAlign w:val="center"/>
            <w:shd w:fill="F1F5F6"/>
            <w:tcMar>
              <w:top w:w="80" w:type="dxa"/>
              <w:bottom w:w="80" w:type="dxa"/>
              <w:left w:w="80" w:type="dxa"/>
              <w:right w:w="80" w:type="dxa"/>
            </w:tcMar>
          </w:tcPr>
          <w:p>
            <w:pPr>
              <w:spacing w:after="40" w:before="40" w:line="252" w:lineRule="auto"/>
              <w:jc w:val="center"/>
            </w:pPr>
            <w:r>
              <w:rPr>
                <w:b w:val="0"/>
                <w:color w:val="000000"/>
                <w:sz w:val="18"/>
              </w:rPr>
              <w:t>0.9667</w:t>
            </w:r>
          </w:p>
        </w:tc>
        <w:tc>
          <w:tcPr>
            <w:tcW w:type="dxa" w:w="1368"/>
            <w:vAlign w:val="center"/>
            <w:shd w:fill="F1F5F6"/>
            <w:tcMar>
              <w:top w:w="80" w:type="dxa"/>
              <w:bottom w:w="80" w:type="dxa"/>
              <w:left w:w="80" w:type="dxa"/>
              <w:right w:w="80" w:type="dxa"/>
            </w:tcMar>
          </w:tcPr>
          <w:p>
            <w:pPr>
              <w:spacing w:after="40" w:before="40" w:line="252" w:lineRule="auto"/>
              <w:jc w:val="center"/>
            </w:pPr>
            <w:r>
              <w:rPr>
                <w:b w:val="0"/>
                <w:color w:val="000000"/>
                <w:sz w:val="18"/>
              </w:rPr>
              <w:t>96.97%</w:t>
            </w:r>
          </w:p>
        </w:tc>
        <w:tc>
          <w:tcPr>
            <w:tcW w:type="dxa" w:w="1368"/>
            <w:vAlign w:val="center"/>
            <w:shd w:fill="F1F5F6"/>
            <w:tcMar>
              <w:top w:w="80" w:type="dxa"/>
              <w:bottom w:w="80" w:type="dxa"/>
              <w:left w:w="80" w:type="dxa"/>
              <w:right w:w="80" w:type="dxa"/>
            </w:tcMar>
          </w:tcPr>
          <w:p>
            <w:pPr>
              <w:spacing w:after="40" w:before="40" w:line="252" w:lineRule="auto"/>
              <w:jc w:val="center"/>
            </w:pPr>
            <w:r>
              <w:rPr>
                <w:b w:val="0"/>
                <w:color w:val="000000"/>
                <w:sz w:val="18"/>
              </w:rPr>
              <w:t>80.00%</w:t>
            </w:r>
          </w:p>
        </w:tc>
        <w:tc>
          <w:tcPr>
            <w:tcW w:type="dxa" w:w="1080"/>
            <w:vAlign w:val="center"/>
            <w:shd w:fill="F1F5F6"/>
            <w:tcMar>
              <w:top w:w="80" w:type="dxa"/>
              <w:bottom w:w="80" w:type="dxa"/>
              <w:left w:w="80" w:type="dxa"/>
              <w:right w:w="80" w:type="dxa"/>
            </w:tcMar>
          </w:tcPr>
          <w:p>
            <w:pPr>
              <w:spacing w:after="40" w:before="40" w:line="252" w:lineRule="auto"/>
              <w:jc w:val="center"/>
            </w:pPr>
            <w:r>
              <w:rPr>
                <w:b w:val="0"/>
                <w:color w:val="000000"/>
                <w:sz w:val="18"/>
              </w:rPr>
              <w:t>0.8767</w:t>
            </w:r>
          </w:p>
        </w:tc>
        <w:tc>
          <w:tcPr>
            <w:tcW w:type="dxa" w:w="936"/>
            <w:vAlign w:val="center"/>
            <w:shd w:fill="F1F5F6"/>
            <w:tcMar>
              <w:top w:w="80" w:type="dxa"/>
              <w:bottom w:w="80" w:type="dxa"/>
              <w:left w:w="80" w:type="dxa"/>
              <w:right w:w="80" w:type="dxa"/>
            </w:tcMar>
          </w:tcPr>
          <w:p>
            <w:pPr>
              <w:spacing w:after="40" w:before="40" w:line="252" w:lineRule="auto"/>
              <w:jc w:val="center"/>
            </w:pPr>
            <w:r>
              <w:rPr>
                <w:b w:val="0"/>
                <w:color w:val="000000"/>
                <w:sz w:val="18"/>
              </w:rPr>
              <w:t>1 / 8</w:t>
            </w:r>
          </w:p>
        </w:tc>
      </w:tr>
    </w:tbl>
    <w:p>
      <w:pPr>
        <w:widowControl/>
        <w:spacing w:after="0"/>
      </w:pPr>
    </w:p>
    <w:p>
      <w:pPr>
        <w:widowControl/>
        <w:spacing w:after="160"/>
      </w:pPr>
      <w:r>
        <w:rPr>
          <w:i/>
          <w:sz w:val="18"/>
        </w:rPr>
        <w:t>Table 2  Intake test results. AP and F1 are fractions. Precision and recall are percentages. FP and FN are counts.</w:t>
      </w:r>
    </w:p>
    <w:p>
      <w:pPr>
        <w:widowControl/>
      </w:pPr>
      <w:r>
        <w:t>XGBoost also achieves AP 1.0000 and has one false positive with no false negatives. Its F1 of 0.9877 marginally exceeds Random Forest’s 0.9873 at the selected thresholds, but the difference is one error of a different type. The best neural AP is 0.9667 for 1D CNN. Its selected threshold produces recall 80.00% and F1 0.8767. Neither architecture complexity nor AP alone guarantees a better operating point.</w:t>
      </w:r>
    </w:p>
    <w:p>
      <w:r>
        <w:drawing>
          <wp:inline xmlns:a="http://schemas.openxmlformats.org/drawingml/2006/main" xmlns:pic="http://schemas.openxmlformats.org/drawingml/2006/picture">
            <wp:extent cx="5943600" cy="3037840"/>
            <wp:docPr id="2" name="Picture 2"/>
            <wp:cNvGraphicFramePr>
              <a:graphicFrameLocks noChangeAspect="1"/>
            </wp:cNvGraphicFramePr>
            <a:graphic>
              <a:graphicData uri="http://schemas.openxmlformats.org/drawingml/2006/picture">
                <pic:pic>
                  <pic:nvPicPr>
                    <pic:cNvPr id="0" name="ap_comparison.png"/>
                    <pic:cNvPicPr/>
                  </pic:nvPicPr>
                  <pic:blipFill>
                    <a:blip r:embed="rId11"/>
                    <a:stretch>
                      <a:fillRect/>
                    </a:stretch>
                  </pic:blipFill>
                  <pic:spPr>
                    <a:xfrm>
                      <a:off x="0" y="0"/>
                      <a:ext cx="5943600" cy="3037840"/>
                    </a:xfrm>
                    <a:prstGeom prst="rect"/>
                  </pic:spPr>
                </pic:pic>
              </a:graphicData>
            </a:graphic>
          </wp:inline>
        </w:drawing>
      </w:r>
    </w:p>
    <w:p>
      <w:pPr>
        <w:widowControl/>
        <w:spacing w:after="160"/>
      </w:pPr>
      <w:r>
        <w:rPr>
          <w:i/>
          <w:sz w:val="18"/>
        </w:rPr>
        <w:t>Figure 2  Test AP for the original 29-feature comparison and the intake variant without Cluster.</w:t>
      </w:r>
    </w:p>
    <w:p>
      <w:pPr>
        <w:pStyle w:val="Heading1"/>
        <w:pageBreakBefore/>
      </w:pPr>
      <w:r>
        <w:t>6 Sensitivity and uncertainty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1440"/>
        <w:gridCol w:w="1440"/>
        <w:gridCol w:w="1440"/>
        <w:gridCol w:w="1512"/>
      </w:tblGrid>
      <w:tr>
        <w:trPr>
          <w:tblHeader/>
          <w:cantSplit/>
        </w:trPr>
        <w:tc>
          <w:tcPr>
            <w:tcW w:type="dxa" w:w="2376"/>
            <w:vAlign w:val="center"/>
            <w:shd w:fill="183B4A"/>
            <w:tcMar>
              <w:top w:w="80" w:type="dxa"/>
              <w:bottom w:w="80" w:type="dxa"/>
              <w:left w:w="80" w:type="dxa"/>
              <w:right w:w="80" w:type="dxa"/>
            </w:tcMar>
          </w:tcPr>
          <w:p>
            <w:pPr>
              <w:spacing w:after="40" w:before="40" w:line="252" w:lineRule="auto"/>
              <w:jc w:val="left"/>
            </w:pPr>
            <w:r>
              <w:rPr>
                <w:b/>
                <w:color w:val="FFFFFF"/>
                <w:sz w:val="18"/>
              </w:rPr>
              <w:t>Model</w:t>
            </w:r>
          </w:p>
        </w:tc>
        <w:tc>
          <w:tcPr>
            <w:tcW w:type="dxa" w:w="1440"/>
            <w:vAlign w:val="center"/>
            <w:shd w:fill="183B4A"/>
            <w:tcMar>
              <w:top w:w="80" w:type="dxa"/>
              <w:bottom w:w="80" w:type="dxa"/>
              <w:left w:w="80" w:type="dxa"/>
              <w:right w:w="80" w:type="dxa"/>
            </w:tcMar>
          </w:tcPr>
          <w:p>
            <w:pPr>
              <w:spacing w:after="40" w:before="40" w:line="252" w:lineRule="auto"/>
              <w:jc w:val="center"/>
            </w:pPr>
            <w:r>
              <w:rPr>
                <w:b/>
                <w:color w:val="FFFFFF"/>
                <w:sz w:val="18"/>
              </w:rPr>
              <w:t>Original AP</w:t>
            </w:r>
          </w:p>
        </w:tc>
        <w:tc>
          <w:tcPr>
            <w:tcW w:type="dxa" w:w="1440"/>
            <w:vAlign w:val="center"/>
            <w:shd w:fill="183B4A"/>
            <w:tcMar>
              <w:top w:w="80" w:type="dxa"/>
              <w:bottom w:w="80" w:type="dxa"/>
              <w:left w:w="80" w:type="dxa"/>
              <w:right w:w="80" w:type="dxa"/>
            </w:tcMar>
          </w:tcPr>
          <w:p>
            <w:pPr>
              <w:spacing w:after="40" w:before="40" w:line="252" w:lineRule="auto"/>
              <w:jc w:val="center"/>
            </w:pPr>
            <w:r>
              <w:rPr>
                <w:b/>
                <w:color w:val="FFFFFF"/>
                <w:sz w:val="18"/>
              </w:rPr>
              <w:t>Intake AP</w:t>
            </w:r>
          </w:p>
        </w:tc>
        <w:tc>
          <w:tcPr>
            <w:tcW w:type="dxa" w:w="1440"/>
            <w:vAlign w:val="center"/>
            <w:shd w:fill="183B4A"/>
            <w:tcMar>
              <w:top w:w="80" w:type="dxa"/>
              <w:bottom w:w="80" w:type="dxa"/>
              <w:left w:w="80" w:type="dxa"/>
              <w:right w:w="80" w:type="dxa"/>
            </w:tcMar>
          </w:tcPr>
          <w:p>
            <w:pPr>
              <w:spacing w:after="40" w:before="40" w:line="252" w:lineRule="auto"/>
              <w:jc w:val="center"/>
            </w:pPr>
            <w:r>
              <w:rPr>
                <w:b/>
                <w:color w:val="FFFFFF"/>
                <w:sz w:val="18"/>
              </w:rPr>
              <w:t>No amount AP</w:t>
            </w:r>
          </w:p>
        </w:tc>
        <w:tc>
          <w:tcPr>
            <w:tcW w:type="dxa" w:w="1512"/>
            <w:vAlign w:val="center"/>
            <w:shd w:fill="183B4A"/>
            <w:tcMar>
              <w:top w:w="80" w:type="dxa"/>
              <w:bottom w:w="80" w:type="dxa"/>
              <w:left w:w="80" w:type="dxa"/>
              <w:right w:w="80" w:type="dxa"/>
            </w:tcMar>
          </w:tcPr>
          <w:p>
            <w:pPr>
              <w:spacing w:after="40" w:before="40" w:line="252" w:lineRule="auto"/>
              <w:jc w:val="center"/>
            </w:pPr>
            <w:r>
              <w:rPr>
                <w:b/>
                <w:color w:val="FFFFFF"/>
                <w:sz w:val="18"/>
              </w:rPr>
              <w:t>Temporal AP</w:t>
            </w:r>
          </w:p>
        </w:tc>
      </w:tr>
      <w:tr>
        <w:trPr>
          <w:cantSplit/>
        </w:trPr>
        <w:tc>
          <w:tcPr>
            <w:tcW w:type="dxa" w:w="2376"/>
            <w:vAlign w:val="center"/>
            <w:shd w:fill="FFFFFF"/>
            <w:tcMar>
              <w:top w:w="80" w:type="dxa"/>
              <w:bottom w:w="80" w:type="dxa"/>
              <w:left w:w="80" w:type="dxa"/>
              <w:right w:w="80" w:type="dxa"/>
            </w:tcMar>
          </w:tcPr>
          <w:p>
            <w:pPr>
              <w:spacing w:after="40" w:before="40" w:line="252" w:lineRule="auto"/>
              <w:jc w:val="left"/>
            </w:pPr>
            <w:r>
              <w:rPr>
                <w:b w:val="0"/>
                <w:color w:val="000000"/>
                <w:sz w:val="18"/>
              </w:rPr>
              <w:t>Logistic Regression</w:t>
            </w:r>
          </w:p>
        </w:tc>
        <w:tc>
          <w:tcPr>
            <w:tcW w:type="dxa" w:w="1440"/>
            <w:vAlign w:val="center"/>
            <w:shd w:fill="FFFFFF"/>
            <w:tcMar>
              <w:top w:w="80" w:type="dxa"/>
              <w:bottom w:w="80" w:type="dxa"/>
              <w:left w:w="80" w:type="dxa"/>
              <w:right w:w="80" w:type="dxa"/>
            </w:tcMar>
          </w:tcPr>
          <w:p>
            <w:pPr>
              <w:spacing w:after="40" w:before="40" w:line="252" w:lineRule="auto"/>
              <w:jc w:val="center"/>
            </w:pPr>
            <w:r>
              <w:rPr>
                <w:b w:val="0"/>
                <w:color w:val="000000"/>
                <w:sz w:val="18"/>
              </w:rPr>
              <w:t>0.9186</w:t>
            </w:r>
          </w:p>
        </w:tc>
        <w:tc>
          <w:tcPr>
            <w:tcW w:type="dxa" w:w="1440"/>
            <w:vAlign w:val="center"/>
            <w:shd w:fill="FFFFFF"/>
            <w:tcMar>
              <w:top w:w="80" w:type="dxa"/>
              <w:bottom w:w="80" w:type="dxa"/>
              <w:left w:w="80" w:type="dxa"/>
              <w:right w:w="80" w:type="dxa"/>
            </w:tcMar>
          </w:tcPr>
          <w:p>
            <w:pPr>
              <w:spacing w:after="40" w:before="40" w:line="252" w:lineRule="auto"/>
              <w:jc w:val="center"/>
            </w:pPr>
            <w:r>
              <w:rPr>
                <w:b w:val="0"/>
                <w:color w:val="000000"/>
                <w:sz w:val="18"/>
              </w:rPr>
              <w:t>0.8525</w:t>
            </w:r>
          </w:p>
        </w:tc>
        <w:tc>
          <w:tcPr>
            <w:tcW w:type="dxa" w:w="1440"/>
            <w:vAlign w:val="center"/>
            <w:shd w:fill="FFFFFF"/>
            <w:tcMar>
              <w:top w:w="80" w:type="dxa"/>
              <w:bottom w:w="80" w:type="dxa"/>
              <w:left w:w="80" w:type="dxa"/>
              <w:right w:w="80" w:type="dxa"/>
            </w:tcMar>
          </w:tcPr>
          <w:p>
            <w:pPr>
              <w:spacing w:after="40" w:before="40" w:line="252" w:lineRule="auto"/>
              <w:jc w:val="center"/>
            </w:pPr>
            <w:r>
              <w:rPr>
                <w:b w:val="0"/>
                <w:color w:val="000000"/>
                <w:sz w:val="18"/>
              </w:rPr>
              <w:t>0.2318</w:t>
            </w:r>
          </w:p>
        </w:tc>
        <w:tc>
          <w:tcPr>
            <w:tcW w:type="dxa" w:w="1512"/>
            <w:vAlign w:val="center"/>
            <w:shd w:fill="FFFFFF"/>
            <w:tcMar>
              <w:top w:w="80" w:type="dxa"/>
              <w:bottom w:w="80" w:type="dxa"/>
              <w:left w:w="80" w:type="dxa"/>
              <w:right w:w="80" w:type="dxa"/>
            </w:tcMar>
          </w:tcPr>
          <w:p>
            <w:pPr>
              <w:spacing w:after="40" w:before="40" w:line="252" w:lineRule="auto"/>
              <w:jc w:val="center"/>
            </w:pPr>
            <w:r>
              <w:rPr>
                <w:b w:val="0"/>
                <w:color w:val="000000"/>
                <w:sz w:val="18"/>
              </w:rPr>
              <w:t>0.8799</w:t>
            </w:r>
          </w:p>
        </w:tc>
      </w:tr>
      <w:tr>
        <w:trPr>
          <w:cantSplit/>
        </w:trPr>
        <w:tc>
          <w:tcPr>
            <w:tcW w:type="dxa" w:w="2376"/>
            <w:vAlign w:val="center"/>
            <w:shd w:fill="F1F5F6"/>
            <w:tcMar>
              <w:top w:w="80" w:type="dxa"/>
              <w:bottom w:w="80" w:type="dxa"/>
              <w:left w:w="80" w:type="dxa"/>
              <w:right w:w="80" w:type="dxa"/>
            </w:tcMar>
          </w:tcPr>
          <w:p>
            <w:pPr>
              <w:spacing w:after="40" w:before="40" w:line="252" w:lineRule="auto"/>
              <w:jc w:val="left"/>
            </w:pPr>
            <w:r>
              <w:rPr>
                <w:b w:val="0"/>
                <w:color w:val="000000"/>
                <w:sz w:val="18"/>
              </w:rPr>
              <w:t>Random Forest</w:t>
            </w:r>
          </w:p>
        </w:tc>
        <w:tc>
          <w:tcPr>
            <w:tcW w:type="dxa" w:w="1440"/>
            <w:vAlign w:val="center"/>
            <w:shd w:fill="F1F5F6"/>
            <w:tcMar>
              <w:top w:w="80" w:type="dxa"/>
              <w:bottom w:w="80" w:type="dxa"/>
              <w:left w:w="80" w:type="dxa"/>
              <w:right w:w="80" w:type="dxa"/>
            </w:tcMar>
          </w:tcPr>
          <w:p>
            <w:pPr>
              <w:spacing w:after="40" w:before="40" w:line="252" w:lineRule="auto"/>
              <w:jc w:val="center"/>
            </w:pPr>
            <w:r>
              <w:rPr>
                <w:b w:val="0"/>
                <w:color w:val="000000"/>
                <w:sz w:val="18"/>
              </w:rPr>
              <w:t>0.9994</w:t>
            </w:r>
          </w:p>
        </w:tc>
        <w:tc>
          <w:tcPr>
            <w:tcW w:type="dxa" w:w="1440"/>
            <w:vAlign w:val="center"/>
            <w:shd w:fill="F1F5F6"/>
            <w:tcMar>
              <w:top w:w="80" w:type="dxa"/>
              <w:bottom w:w="80" w:type="dxa"/>
              <w:left w:w="80" w:type="dxa"/>
              <w:right w:w="80" w:type="dxa"/>
            </w:tcMar>
          </w:tcPr>
          <w:p>
            <w:pPr>
              <w:spacing w:after="40" w:before="40" w:line="252" w:lineRule="auto"/>
              <w:jc w:val="center"/>
            </w:pPr>
            <w:r>
              <w:rPr>
                <w:b w:val="0"/>
                <w:color w:val="000000"/>
                <w:sz w:val="18"/>
              </w:rPr>
              <w:t>1.0000</w:t>
            </w:r>
          </w:p>
        </w:tc>
        <w:tc>
          <w:tcPr>
            <w:tcW w:type="dxa" w:w="1440"/>
            <w:vAlign w:val="center"/>
            <w:shd w:fill="F1F5F6"/>
            <w:tcMar>
              <w:top w:w="80" w:type="dxa"/>
              <w:bottom w:w="80" w:type="dxa"/>
              <w:left w:w="80" w:type="dxa"/>
              <w:right w:w="80" w:type="dxa"/>
            </w:tcMar>
          </w:tcPr>
          <w:p>
            <w:pPr>
              <w:spacing w:after="40" w:before="40" w:line="252" w:lineRule="auto"/>
              <w:jc w:val="center"/>
            </w:pPr>
            <w:r>
              <w:rPr>
                <w:b w:val="0"/>
                <w:color w:val="000000"/>
                <w:sz w:val="18"/>
              </w:rPr>
              <w:t>0.2066</w:t>
            </w:r>
          </w:p>
        </w:tc>
        <w:tc>
          <w:tcPr>
            <w:tcW w:type="dxa" w:w="1512"/>
            <w:vAlign w:val="center"/>
            <w:shd w:fill="F1F5F6"/>
            <w:tcMar>
              <w:top w:w="80" w:type="dxa"/>
              <w:bottom w:w="80" w:type="dxa"/>
              <w:left w:w="80" w:type="dxa"/>
              <w:right w:w="80" w:type="dxa"/>
            </w:tcMar>
          </w:tcPr>
          <w:p>
            <w:pPr>
              <w:spacing w:after="40" w:before="40" w:line="252" w:lineRule="auto"/>
              <w:jc w:val="center"/>
            </w:pPr>
            <w:r>
              <w:rPr>
                <w:b w:val="0"/>
                <w:color w:val="000000"/>
                <w:sz w:val="18"/>
              </w:rPr>
              <w:t>1.0000</w:t>
            </w:r>
          </w:p>
        </w:tc>
      </w:tr>
      <w:tr>
        <w:trPr>
          <w:cantSplit/>
        </w:trPr>
        <w:tc>
          <w:tcPr>
            <w:tcW w:type="dxa" w:w="2376"/>
            <w:vAlign w:val="center"/>
            <w:shd w:fill="FFFFFF"/>
            <w:tcMar>
              <w:top w:w="80" w:type="dxa"/>
              <w:bottom w:w="80" w:type="dxa"/>
              <w:left w:w="80" w:type="dxa"/>
              <w:right w:w="80" w:type="dxa"/>
            </w:tcMar>
          </w:tcPr>
          <w:p>
            <w:pPr>
              <w:spacing w:after="40" w:before="40" w:line="252" w:lineRule="auto"/>
              <w:jc w:val="left"/>
            </w:pPr>
            <w:r>
              <w:rPr>
                <w:b w:val="0"/>
                <w:color w:val="000000"/>
                <w:sz w:val="18"/>
              </w:rPr>
              <w:t>XGBoost</w:t>
            </w:r>
          </w:p>
        </w:tc>
        <w:tc>
          <w:tcPr>
            <w:tcW w:type="dxa" w:w="1440"/>
            <w:vAlign w:val="center"/>
            <w:shd w:fill="FFFFFF"/>
            <w:tcMar>
              <w:top w:w="80" w:type="dxa"/>
              <w:bottom w:w="80" w:type="dxa"/>
              <w:left w:w="80" w:type="dxa"/>
              <w:right w:w="80" w:type="dxa"/>
            </w:tcMar>
          </w:tcPr>
          <w:p>
            <w:pPr>
              <w:spacing w:after="40" w:before="40" w:line="252" w:lineRule="auto"/>
              <w:jc w:val="center"/>
            </w:pPr>
            <w:r>
              <w:rPr>
                <w:b w:val="0"/>
                <w:color w:val="000000"/>
                <w:sz w:val="18"/>
              </w:rPr>
              <w:t>1.0000</w:t>
            </w:r>
          </w:p>
        </w:tc>
        <w:tc>
          <w:tcPr>
            <w:tcW w:type="dxa" w:w="1440"/>
            <w:vAlign w:val="center"/>
            <w:shd w:fill="FFFFFF"/>
            <w:tcMar>
              <w:top w:w="80" w:type="dxa"/>
              <w:bottom w:w="80" w:type="dxa"/>
              <w:left w:w="80" w:type="dxa"/>
              <w:right w:w="80" w:type="dxa"/>
            </w:tcMar>
          </w:tcPr>
          <w:p>
            <w:pPr>
              <w:spacing w:after="40" w:before="40" w:line="252" w:lineRule="auto"/>
              <w:jc w:val="center"/>
            </w:pPr>
            <w:r>
              <w:rPr>
                <w:b w:val="0"/>
                <w:color w:val="000000"/>
                <w:sz w:val="18"/>
              </w:rPr>
              <w:t>1.0000</w:t>
            </w:r>
          </w:p>
        </w:tc>
        <w:tc>
          <w:tcPr>
            <w:tcW w:type="dxa" w:w="1440"/>
            <w:vAlign w:val="center"/>
            <w:shd w:fill="FFFFFF"/>
            <w:tcMar>
              <w:top w:w="80" w:type="dxa"/>
              <w:bottom w:w="80" w:type="dxa"/>
              <w:left w:w="80" w:type="dxa"/>
              <w:right w:w="80" w:type="dxa"/>
            </w:tcMar>
          </w:tcPr>
          <w:p>
            <w:pPr>
              <w:spacing w:after="40" w:before="40" w:line="252" w:lineRule="auto"/>
              <w:jc w:val="center"/>
            </w:pPr>
            <w:r>
              <w:rPr>
                <w:b w:val="0"/>
                <w:color w:val="000000"/>
                <w:sz w:val="18"/>
              </w:rPr>
              <w:t>0.2128</w:t>
            </w:r>
          </w:p>
        </w:tc>
        <w:tc>
          <w:tcPr>
            <w:tcW w:type="dxa" w:w="1512"/>
            <w:vAlign w:val="center"/>
            <w:shd w:fill="FFFFFF"/>
            <w:tcMar>
              <w:top w:w="80" w:type="dxa"/>
              <w:bottom w:w="80" w:type="dxa"/>
              <w:left w:w="80" w:type="dxa"/>
              <w:right w:w="80" w:type="dxa"/>
            </w:tcMar>
          </w:tcPr>
          <w:p>
            <w:pPr>
              <w:spacing w:after="40" w:before="40" w:line="252" w:lineRule="auto"/>
              <w:jc w:val="center"/>
            </w:pPr>
            <w:r>
              <w:rPr>
                <w:b w:val="0"/>
                <w:color w:val="000000"/>
                <w:sz w:val="18"/>
              </w:rPr>
              <w:t>1.0000</w:t>
            </w:r>
          </w:p>
        </w:tc>
      </w:tr>
      <w:tr>
        <w:trPr>
          <w:cantSplit/>
        </w:trPr>
        <w:tc>
          <w:tcPr>
            <w:tcW w:type="dxa" w:w="2376"/>
            <w:vAlign w:val="center"/>
            <w:shd w:fill="F1F5F6"/>
            <w:tcMar>
              <w:top w:w="80" w:type="dxa"/>
              <w:bottom w:w="80" w:type="dxa"/>
              <w:left w:w="80" w:type="dxa"/>
              <w:right w:w="80" w:type="dxa"/>
            </w:tcMar>
          </w:tcPr>
          <w:p>
            <w:pPr>
              <w:spacing w:after="40" w:before="40" w:line="252" w:lineRule="auto"/>
              <w:jc w:val="left"/>
            </w:pPr>
            <w:r>
              <w:rPr>
                <w:b w:val="0"/>
                <w:color w:val="000000"/>
                <w:sz w:val="18"/>
              </w:rPr>
              <w:t>SVM</w:t>
            </w:r>
          </w:p>
        </w:tc>
        <w:tc>
          <w:tcPr>
            <w:tcW w:type="dxa" w:w="1440"/>
            <w:vAlign w:val="center"/>
            <w:shd w:fill="F1F5F6"/>
            <w:tcMar>
              <w:top w:w="80" w:type="dxa"/>
              <w:bottom w:w="80" w:type="dxa"/>
              <w:left w:w="80" w:type="dxa"/>
              <w:right w:w="80" w:type="dxa"/>
            </w:tcMar>
          </w:tcPr>
          <w:p>
            <w:pPr>
              <w:spacing w:after="40" w:before="40" w:line="252" w:lineRule="auto"/>
              <w:jc w:val="center"/>
            </w:pPr>
            <w:r>
              <w:rPr>
                <w:b w:val="0"/>
                <w:color w:val="000000"/>
                <w:sz w:val="18"/>
              </w:rPr>
              <w:t>0.9252</w:t>
            </w:r>
          </w:p>
        </w:tc>
        <w:tc>
          <w:tcPr>
            <w:tcW w:type="dxa" w:w="1440"/>
            <w:vAlign w:val="center"/>
            <w:shd w:fill="F1F5F6"/>
            <w:tcMar>
              <w:top w:w="80" w:type="dxa"/>
              <w:bottom w:w="80" w:type="dxa"/>
              <w:left w:w="80" w:type="dxa"/>
              <w:right w:w="80" w:type="dxa"/>
            </w:tcMar>
          </w:tcPr>
          <w:p>
            <w:pPr>
              <w:spacing w:after="40" w:before="40" w:line="252" w:lineRule="auto"/>
              <w:jc w:val="center"/>
            </w:pPr>
            <w:r>
              <w:rPr>
                <w:b w:val="0"/>
                <w:color w:val="000000"/>
                <w:sz w:val="18"/>
              </w:rPr>
              <w:t>0.8181</w:t>
            </w:r>
          </w:p>
        </w:tc>
        <w:tc>
          <w:tcPr>
            <w:tcW w:type="dxa" w:w="1440"/>
            <w:vAlign w:val="center"/>
            <w:shd w:fill="F1F5F6"/>
            <w:tcMar>
              <w:top w:w="80" w:type="dxa"/>
              <w:bottom w:w="80" w:type="dxa"/>
              <w:left w:w="80" w:type="dxa"/>
              <w:right w:w="80" w:type="dxa"/>
            </w:tcMar>
          </w:tcPr>
          <w:p>
            <w:pPr>
              <w:spacing w:after="40" w:before="40" w:line="252" w:lineRule="auto"/>
              <w:jc w:val="center"/>
            </w:pPr>
            <w:r>
              <w:rPr>
                <w:b w:val="0"/>
                <w:color w:val="000000"/>
                <w:sz w:val="18"/>
              </w:rPr>
              <w:t>0.1869</w:t>
            </w:r>
          </w:p>
        </w:tc>
        <w:tc>
          <w:tcPr>
            <w:tcW w:type="dxa" w:w="1512"/>
            <w:vAlign w:val="center"/>
            <w:shd w:fill="F1F5F6"/>
            <w:tcMar>
              <w:top w:w="80" w:type="dxa"/>
              <w:bottom w:w="80" w:type="dxa"/>
              <w:left w:w="80" w:type="dxa"/>
              <w:right w:w="80" w:type="dxa"/>
            </w:tcMar>
          </w:tcPr>
          <w:p>
            <w:pPr>
              <w:spacing w:after="40" w:before="40" w:line="252" w:lineRule="auto"/>
              <w:jc w:val="center"/>
            </w:pPr>
            <w:r>
              <w:rPr>
                <w:b w:val="0"/>
                <w:color w:val="000000"/>
                <w:sz w:val="18"/>
              </w:rPr>
              <w:t>0.8396</w:t>
            </w:r>
          </w:p>
        </w:tc>
      </w:tr>
      <w:tr>
        <w:trPr>
          <w:cantSplit/>
        </w:trPr>
        <w:tc>
          <w:tcPr>
            <w:tcW w:type="dxa" w:w="2376"/>
            <w:vAlign w:val="center"/>
            <w:shd w:fill="FFFFFF"/>
            <w:tcMar>
              <w:top w:w="80" w:type="dxa"/>
              <w:bottom w:w="80" w:type="dxa"/>
              <w:left w:w="80" w:type="dxa"/>
              <w:right w:w="80" w:type="dxa"/>
            </w:tcMar>
          </w:tcPr>
          <w:p>
            <w:pPr>
              <w:spacing w:after="40" w:before="40" w:line="252" w:lineRule="auto"/>
              <w:jc w:val="left"/>
            </w:pPr>
            <w:r>
              <w:rPr>
                <w:b w:val="0"/>
                <w:color w:val="000000"/>
                <w:sz w:val="18"/>
              </w:rPr>
              <w:t>Histogram GB</w:t>
            </w:r>
          </w:p>
        </w:tc>
        <w:tc>
          <w:tcPr>
            <w:tcW w:type="dxa" w:w="1440"/>
            <w:vAlign w:val="center"/>
            <w:shd w:fill="FFFFFF"/>
            <w:tcMar>
              <w:top w:w="80" w:type="dxa"/>
              <w:bottom w:w="80" w:type="dxa"/>
              <w:left w:w="80" w:type="dxa"/>
              <w:right w:w="80" w:type="dxa"/>
            </w:tcMar>
          </w:tcPr>
          <w:p>
            <w:pPr>
              <w:spacing w:after="40" w:before="40" w:line="252" w:lineRule="auto"/>
              <w:jc w:val="center"/>
            </w:pPr>
            <w:r>
              <w:rPr>
                <w:b w:val="0"/>
                <w:color w:val="000000"/>
                <w:sz w:val="18"/>
              </w:rPr>
              <w:t>0.9765</w:t>
            </w:r>
          </w:p>
        </w:tc>
        <w:tc>
          <w:tcPr>
            <w:tcW w:type="dxa" w:w="1440"/>
            <w:vAlign w:val="center"/>
            <w:shd w:fill="FFFFFF"/>
            <w:tcMar>
              <w:top w:w="80" w:type="dxa"/>
              <w:bottom w:w="80" w:type="dxa"/>
              <w:left w:w="80" w:type="dxa"/>
              <w:right w:w="80" w:type="dxa"/>
            </w:tcMar>
          </w:tcPr>
          <w:p>
            <w:pPr>
              <w:spacing w:after="40" w:before="40" w:line="252" w:lineRule="auto"/>
              <w:jc w:val="center"/>
            </w:pPr>
            <w:r>
              <w:rPr>
                <w:b w:val="0"/>
                <w:color w:val="000000"/>
                <w:sz w:val="18"/>
              </w:rPr>
              <w:t>0.9765</w:t>
            </w:r>
          </w:p>
        </w:tc>
        <w:tc>
          <w:tcPr>
            <w:tcW w:type="dxa" w:w="1440"/>
            <w:vAlign w:val="center"/>
            <w:shd w:fill="FFFFFF"/>
            <w:tcMar>
              <w:top w:w="80" w:type="dxa"/>
              <w:bottom w:w="80" w:type="dxa"/>
              <w:left w:w="80" w:type="dxa"/>
              <w:right w:w="80" w:type="dxa"/>
            </w:tcMar>
          </w:tcPr>
          <w:p>
            <w:pPr>
              <w:spacing w:after="40" w:before="40" w:line="252" w:lineRule="auto"/>
              <w:jc w:val="center"/>
            </w:pPr>
            <w:r>
              <w:rPr>
                <w:b w:val="0"/>
                <w:color w:val="000000"/>
                <w:sz w:val="18"/>
              </w:rPr>
              <w:t>0.2404</w:t>
            </w:r>
          </w:p>
        </w:tc>
        <w:tc>
          <w:tcPr>
            <w:tcW w:type="dxa" w:w="1512"/>
            <w:vAlign w:val="center"/>
            <w:shd w:fill="FFFFFF"/>
            <w:tcMar>
              <w:top w:w="80" w:type="dxa"/>
              <w:bottom w:w="80" w:type="dxa"/>
              <w:left w:w="80" w:type="dxa"/>
              <w:right w:w="80" w:type="dxa"/>
            </w:tcMar>
          </w:tcPr>
          <w:p>
            <w:pPr>
              <w:spacing w:after="40" w:before="40" w:line="252" w:lineRule="auto"/>
              <w:jc w:val="center"/>
            </w:pPr>
            <w:r>
              <w:rPr>
                <w:b w:val="0"/>
                <w:color w:val="000000"/>
                <w:sz w:val="18"/>
              </w:rPr>
              <w:t>1.0000</w:t>
            </w:r>
          </w:p>
        </w:tc>
      </w:tr>
      <w:tr>
        <w:trPr>
          <w:cantSplit/>
        </w:trPr>
        <w:tc>
          <w:tcPr>
            <w:tcW w:type="dxa" w:w="2376"/>
            <w:vAlign w:val="center"/>
            <w:shd w:fill="F1F5F6"/>
            <w:tcMar>
              <w:top w:w="80" w:type="dxa"/>
              <w:bottom w:w="80" w:type="dxa"/>
              <w:left w:w="80" w:type="dxa"/>
              <w:right w:w="80" w:type="dxa"/>
            </w:tcMar>
          </w:tcPr>
          <w:p>
            <w:pPr>
              <w:spacing w:after="40" w:before="40" w:line="252" w:lineRule="auto"/>
              <w:jc w:val="left"/>
            </w:pPr>
            <w:r>
              <w:rPr>
                <w:b w:val="0"/>
                <w:color w:val="000000"/>
                <w:sz w:val="18"/>
              </w:rPr>
              <w:t>MLP</w:t>
            </w:r>
          </w:p>
        </w:tc>
        <w:tc>
          <w:tcPr>
            <w:tcW w:type="dxa" w:w="1440"/>
            <w:vAlign w:val="center"/>
            <w:shd w:fill="F1F5F6"/>
            <w:tcMar>
              <w:top w:w="80" w:type="dxa"/>
              <w:bottom w:w="80" w:type="dxa"/>
              <w:left w:w="80" w:type="dxa"/>
              <w:right w:w="80" w:type="dxa"/>
            </w:tcMar>
          </w:tcPr>
          <w:p>
            <w:pPr>
              <w:spacing w:after="40" w:before="40" w:line="252" w:lineRule="auto"/>
              <w:jc w:val="center"/>
            </w:pPr>
            <w:r>
              <w:rPr>
                <w:b w:val="0"/>
                <w:color w:val="000000"/>
                <w:sz w:val="18"/>
              </w:rPr>
              <w:t>0.9538</w:t>
            </w:r>
          </w:p>
        </w:tc>
        <w:tc>
          <w:tcPr>
            <w:tcW w:type="dxa" w:w="1440"/>
            <w:vAlign w:val="center"/>
            <w:shd w:fill="F1F5F6"/>
            <w:tcMar>
              <w:top w:w="80" w:type="dxa"/>
              <w:bottom w:w="80" w:type="dxa"/>
              <w:left w:w="80" w:type="dxa"/>
              <w:right w:w="80" w:type="dxa"/>
            </w:tcMar>
          </w:tcPr>
          <w:p>
            <w:pPr>
              <w:spacing w:after="40" w:before="40" w:line="252" w:lineRule="auto"/>
              <w:jc w:val="center"/>
            </w:pPr>
            <w:r>
              <w:rPr>
                <w:b w:val="0"/>
                <w:color w:val="000000"/>
                <w:sz w:val="18"/>
              </w:rPr>
              <w:t>0.8866</w:t>
            </w:r>
          </w:p>
        </w:tc>
        <w:tc>
          <w:tcPr>
            <w:tcW w:type="dxa" w:w="1440"/>
            <w:vAlign w:val="center"/>
            <w:shd w:fill="F1F5F6"/>
            <w:tcMar>
              <w:top w:w="80" w:type="dxa"/>
              <w:bottom w:w="80" w:type="dxa"/>
              <w:left w:w="80" w:type="dxa"/>
              <w:right w:w="80" w:type="dxa"/>
            </w:tcMar>
          </w:tcPr>
          <w:p>
            <w:pPr>
              <w:spacing w:after="40" w:before="40" w:line="252" w:lineRule="auto"/>
              <w:jc w:val="center"/>
            </w:pPr>
            <w:r>
              <w:rPr>
                <w:b w:val="0"/>
                <w:color w:val="000000"/>
                <w:sz w:val="18"/>
              </w:rPr>
              <w:t>0.2303</w:t>
            </w:r>
          </w:p>
        </w:tc>
        <w:tc>
          <w:tcPr>
            <w:tcW w:type="dxa" w:w="1512"/>
            <w:vAlign w:val="center"/>
            <w:shd w:fill="F1F5F6"/>
            <w:tcMar>
              <w:top w:w="80" w:type="dxa"/>
              <w:bottom w:w="80" w:type="dxa"/>
              <w:left w:w="80" w:type="dxa"/>
              <w:right w:w="80" w:type="dxa"/>
            </w:tcMar>
          </w:tcPr>
          <w:p>
            <w:pPr>
              <w:spacing w:after="40" w:before="40" w:line="252" w:lineRule="auto"/>
              <w:jc w:val="center"/>
            </w:pPr>
            <w:r>
              <w:rPr>
                <w:b w:val="0"/>
                <w:color w:val="000000"/>
                <w:sz w:val="18"/>
              </w:rPr>
              <w:t>0.8581</w:t>
            </w:r>
          </w:p>
        </w:tc>
      </w:tr>
      <w:tr>
        <w:trPr>
          <w:cantSplit/>
        </w:trPr>
        <w:tc>
          <w:tcPr>
            <w:tcW w:type="dxa" w:w="2376"/>
            <w:vAlign w:val="center"/>
            <w:shd w:fill="FFFFFF"/>
            <w:tcMar>
              <w:top w:w="80" w:type="dxa"/>
              <w:bottom w:w="80" w:type="dxa"/>
              <w:left w:w="80" w:type="dxa"/>
              <w:right w:w="80" w:type="dxa"/>
            </w:tcMar>
          </w:tcPr>
          <w:p>
            <w:pPr>
              <w:spacing w:after="40" w:before="40" w:line="252" w:lineRule="auto"/>
              <w:jc w:val="left"/>
            </w:pPr>
            <w:r>
              <w:rPr>
                <w:b w:val="0"/>
                <w:color w:val="000000"/>
                <w:sz w:val="18"/>
              </w:rPr>
              <w:t>Residual MLP</w:t>
            </w:r>
          </w:p>
        </w:tc>
        <w:tc>
          <w:tcPr>
            <w:tcW w:type="dxa" w:w="1440"/>
            <w:vAlign w:val="center"/>
            <w:shd w:fill="FFFFFF"/>
            <w:tcMar>
              <w:top w:w="80" w:type="dxa"/>
              <w:bottom w:w="80" w:type="dxa"/>
              <w:left w:w="80" w:type="dxa"/>
              <w:right w:w="80" w:type="dxa"/>
            </w:tcMar>
          </w:tcPr>
          <w:p>
            <w:pPr>
              <w:spacing w:after="40" w:before="40" w:line="252" w:lineRule="auto"/>
              <w:jc w:val="center"/>
            </w:pPr>
            <w:r>
              <w:rPr>
                <w:b w:val="0"/>
                <w:color w:val="000000"/>
                <w:sz w:val="18"/>
              </w:rPr>
              <w:t>0.9567</w:t>
            </w:r>
          </w:p>
        </w:tc>
        <w:tc>
          <w:tcPr>
            <w:tcW w:type="dxa" w:w="1440"/>
            <w:vAlign w:val="center"/>
            <w:shd w:fill="FFFFFF"/>
            <w:tcMar>
              <w:top w:w="80" w:type="dxa"/>
              <w:bottom w:w="80" w:type="dxa"/>
              <w:left w:w="80" w:type="dxa"/>
              <w:right w:w="80" w:type="dxa"/>
            </w:tcMar>
          </w:tcPr>
          <w:p>
            <w:pPr>
              <w:spacing w:after="40" w:before="40" w:line="252" w:lineRule="auto"/>
              <w:jc w:val="center"/>
            </w:pPr>
            <w:r>
              <w:rPr>
                <w:b w:val="0"/>
                <w:color w:val="000000"/>
                <w:sz w:val="18"/>
              </w:rPr>
              <w:t>0.8765</w:t>
            </w:r>
          </w:p>
        </w:tc>
        <w:tc>
          <w:tcPr>
            <w:tcW w:type="dxa" w:w="1440"/>
            <w:vAlign w:val="center"/>
            <w:shd w:fill="FFFFFF"/>
            <w:tcMar>
              <w:top w:w="80" w:type="dxa"/>
              <w:bottom w:w="80" w:type="dxa"/>
              <w:left w:w="80" w:type="dxa"/>
              <w:right w:w="80" w:type="dxa"/>
            </w:tcMar>
          </w:tcPr>
          <w:p>
            <w:pPr>
              <w:spacing w:after="40" w:before="40" w:line="252" w:lineRule="auto"/>
              <w:jc w:val="center"/>
            </w:pPr>
            <w:r>
              <w:rPr>
                <w:b w:val="0"/>
                <w:color w:val="000000"/>
                <w:sz w:val="18"/>
              </w:rPr>
              <w:t>0.2246</w:t>
            </w:r>
          </w:p>
        </w:tc>
        <w:tc>
          <w:tcPr>
            <w:tcW w:type="dxa" w:w="1512"/>
            <w:vAlign w:val="center"/>
            <w:shd w:fill="FFFFFF"/>
            <w:tcMar>
              <w:top w:w="80" w:type="dxa"/>
              <w:bottom w:w="80" w:type="dxa"/>
              <w:left w:w="80" w:type="dxa"/>
              <w:right w:w="80" w:type="dxa"/>
            </w:tcMar>
          </w:tcPr>
          <w:p>
            <w:pPr>
              <w:spacing w:after="40" w:before="40" w:line="252" w:lineRule="auto"/>
              <w:jc w:val="center"/>
            </w:pPr>
            <w:r>
              <w:rPr>
                <w:b w:val="0"/>
                <w:color w:val="000000"/>
                <w:sz w:val="18"/>
              </w:rPr>
              <w:t>0.7979</w:t>
            </w:r>
          </w:p>
        </w:tc>
      </w:tr>
      <w:tr>
        <w:trPr>
          <w:cantSplit/>
        </w:trPr>
        <w:tc>
          <w:tcPr>
            <w:tcW w:type="dxa" w:w="2376"/>
            <w:vAlign w:val="center"/>
            <w:shd w:fill="F1F5F6"/>
            <w:tcMar>
              <w:top w:w="80" w:type="dxa"/>
              <w:bottom w:w="80" w:type="dxa"/>
              <w:left w:w="80" w:type="dxa"/>
              <w:right w:w="80" w:type="dxa"/>
            </w:tcMar>
          </w:tcPr>
          <w:p>
            <w:pPr>
              <w:spacing w:after="40" w:before="40" w:line="252" w:lineRule="auto"/>
              <w:jc w:val="left"/>
            </w:pPr>
            <w:r>
              <w:rPr>
                <w:b w:val="0"/>
                <w:color w:val="000000"/>
                <w:sz w:val="18"/>
              </w:rPr>
              <w:t>1D CNN</w:t>
            </w:r>
          </w:p>
        </w:tc>
        <w:tc>
          <w:tcPr>
            <w:tcW w:type="dxa" w:w="1440"/>
            <w:vAlign w:val="center"/>
            <w:shd w:fill="F1F5F6"/>
            <w:tcMar>
              <w:top w:w="80" w:type="dxa"/>
              <w:bottom w:w="80" w:type="dxa"/>
              <w:left w:w="80" w:type="dxa"/>
              <w:right w:w="80" w:type="dxa"/>
            </w:tcMar>
          </w:tcPr>
          <w:p>
            <w:pPr>
              <w:spacing w:after="40" w:before="40" w:line="252" w:lineRule="auto"/>
              <w:jc w:val="center"/>
            </w:pPr>
            <w:r>
              <w:rPr>
                <w:b w:val="0"/>
                <w:color w:val="000000"/>
                <w:sz w:val="18"/>
              </w:rPr>
              <w:t>0.9882</w:t>
            </w:r>
          </w:p>
        </w:tc>
        <w:tc>
          <w:tcPr>
            <w:tcW w:type="dxa" w:w="1440"/>
            <w:vAlign w:val="center"/>
            <w:shd w:fill="F1F5F6"/>
            <w:tcMar>
              <w:top w:w="80" w:type="dxa"/>
              <w:bottom w:w="80" w:type="dxa"/>
              <w:left w:w="80" w:type="dxa"/>
              <w:right w:w="80" w:type="dxa"/>
            </w:tcMar>
          </w:tcPr>
          <w:p>
            <w:pPr>
              <w:spacing w:after="40" w:before="40" w:line="252" w:lineRule="auto"/>
              <w:jc w:val="center"/>
            </w:pPr>
            <w:r>
              <w:rPr>
                <w:b w:val="0"/>
                <w:color w:val="000000"/>
                <w:sz w:val="18"/>
              </w:rPr>
              <w:t>0.9667</w:t>
            </w:r>
          </w:p>
        </w:tc>
        <w:tc>
          <w:tcPr>
            <w:tcW w:type="dxa" w:w="1440"/>
            <w:vAlign w:val="center"/>
            <w:shd w:fill="F1F5F6"/>
            <w:tcMar>
              <w:top w:w="80" w:type="dxa"/>
              <w:bottom w:w="80" w:type="dxa"/>
              <w:left w:w="80" w:type="dxa"/>
              <w:right w:w="80" w:type="dxa"/>
            </w:tcMar>
          </w:tcPr>
          <w:p>
            <w:pPr>
              <w:spacing w:after="40" w:before="40" w:line="252" w:lineRule="auto"/>
              <w:jc w:val="center"/>
            </w:pPr>
            <w:r>
              <w:rPr>
                <w:b w:val="0"/>
                <w:color w:val="000000"/>
                <w:sz w:val="18"/>
              </w:rPr>
              <w:t>0.2287</w:t>
            </w:r>
          </w:p>
        </w:tc>
        <w:tc>
          <w:tcPr>
            <w:tcW w:type="dxa" w:w="1512"/>
            <w:vAlign w:val="center"/>
            <w:shd w:fill="F1F5F6"/>
            <w:tcMar>
              <w:top w:w="80" w:type="dxa"/>
              <w:bottom w:w="80" w:type="dxa"/>
              <w:left w:w="80" w:type="dxa"/>
              <w:right w:w="80" w:type="dxa"/>
            </w:tcMar>
          </w:tcPr>
          <w:p>
            <w:pPr>
              <w:spacing w:after="40" w:before="40" w:line="252" w:lineRule="auto"/>
              <w:jc w:val="center"/>
            </w:pPr>
            <w:r>
              <w:rPr>
                <w:b w:val="0"/>
                <w:color w:val="000000"/>
                <w:sz w:val="18"/>
              </w:rPr>
              <w:t>0.9172</w:t>
            </w:r>
          </w:p>
        </w:tc>
      </w:tr>
    </w:tbl>
    <w:p>
      <w:pPr>
        <w:widowControl/>
        <w:spacing w:after="0"/>
      </w:pPr>
    </w:p>
    <w:p>
      <w:pPr>
        <w:widowControl/>
        <w:spacing w:after="160"/>
      </w:pPr>
      <w:r>
        <w:rPr>
          <w:i/>
          <w:sz w:val="18"/>
        </w:rPr>
        <w:t>Table 3  Test AP under four experiments. Each chronological model refits on its own earlier training period.</w:t>
      </w:r>
    </w:p>
    <w:p>
      <w:pPr>
        <w:widowControl/>
      </w:pPr>
      <w:r>
        <w:t>Removing Cluster preserves strong tree performance but reduces AP for several linear and neural models. Removing claim amount as well produces AP values between 0.1869 and 0.2404 across all eight methods. Intake Random Forest falls from 1.0000 to 0.2066. All fraud amounts lie between 7,465.07 and 9,978.43 source units, although legitimate amounts overlap this range. The result indicates a strong amount-dependent pattern, rather than proof that amount alone determines fraud.</w:t>
      </w:r>
    </w:p>
    <w:p>
      <w:pPr>
        <w:widowControl/>
      </w:pPr>
      <w:r>
        <w:t>The chronological test yields AP and F1 of 1.0000 for Random Forest, XGBoost and histogram Gradient Boosting. This internal temporal result suggests stable patterns within the workbook. It does not resolve unknown data provenance or establish transportability to another insurer or collection process.</w:t>
      </w:r>
    </w:p>
    <w:p>
      <w:pPr>
        <w:widowControl/>
      </w:pPr>
      <w:r>
        <w:t>A stratified bootstrap with 1,000 replicates and seed 2026 keeps the fitted intake Random Forest and threshold fixed. The 95% percentile intervals are F1 0.9610 to 1.0000 and recall 0.9250 to 1.0000. The AP interval degenerates at 1.0000 because the observed scores perfectly rank the classes. These conditional intervals omit training variability, threshold-selection uncertainty and external distribution shift. They are not evidence that population AP equals one.</w:t>
      </w:r>
    </w:p>
    <w:p>
      <w:pPr>
        <w:pStyle w:val="Heading2"/>
      </w:pPr>
      <w:r>
        <w:t>6 1 Improvement priorities</w:t>
      </w:r>
    </w:p>
    <w:p>
      <w:pPr>
        <w:widowControl/>
      </w:pPr>
      <w:r>
        <w:t>Removing the unexplained Cluster field improves the suitability of the input contract for a claim-intake demonstration. Additional priority work is to document the label and Cluster creation process, obtain independently labelled claims, evaluate across insurers and time, and calibrate scores on a separate partition. Thresholds should ultimately reflect measured review capacity and the relative costs of missed fraud and false alerts. The present study has neither those costs nor an external validation cohort.</w:t>
      </w:r>
    </w:p>
    <w:p>
      <w:pPr>
        <w:pStyle w:val="Heading1"/>
        <w:pageBreakBefore/>
      </w:pPr>
      <w:r>
        <w:t>7 Demonstration and conclusions</w:t>
      </w:r>
    </w:p>
    <w:p>
      <w:pPr>
        <w:widowControl/>
      </w:pPr>
      <w:r>
        <w:t>Claim Fraud Lab exposes both approaches through a shared form. A user selects the original or intake feature contract, chooses a model and threshold policy, and tests a claim or compares all eight algorithms. The browser evaluates exported fitted parameters locally. A same-origin FastAPI application provides an independent Python prediction endpoint. Inputs are validated, predictions display their thresholds, and results can be exported as JSON. The website labels all outputs as uncalibrated scores. The private demonstration is available at https://claim-fraud-lab-ravi-2026.clearbell16.chatgpt.site.</w:t>
      </w:r>
    </w:p>
    <w:p>
      <w:pPr>
        <w:widowControl/>
      </w:pPr>
      <w:r>
        <w:t>Verification covers 1,350 raw-claim preprocessing comparisons and 10,800 model-score comparisons across the two website feature contracts. Preprocessing agrees exactly after float32 conversion. The maximum score difference is below 0.000001 and there are no threshold decision mismatches. The API passes 32 prediction requests plus invalid-input checks. This establishes implementation consistency on the tested cases, not predictive validity outside the workbook.</w:t>
      </w:r>
    </w:p>
    <w:p>
      <w:pPr>
        <w:pStyle w:val="Heading2"/>
      </w:pPr>
      <w:r>
        <w:t>7 1 Conclusion</w:t>
      </w:r>
    </w:p>
    <w:p>
      <w:pPr>
        <w:widowControl/>
      </w:pPr>
      <w:r>
        <w:t>The completed comparison contains five classical methods and three neural methods, with shared evaluation, feature sensitivity tests and a functioning model interface. Tree models dominate this internal benchmark. Removing Cluster preserves a strong default Random Forest result, while amount ablation exposes a major dependency in the dataset. The appropriate submission claim is a reproducible comparative prototype with explicit limits, supported by saved predictions and measured results.</w:t>
      </w:r>
    </w:p>
    <w:p>
      <w:pPr>
        <w:pStyle w:val="Heading1"/>
      </w:pPr>
      <w:r>
        <w:t>References</w:t>
      </w:r>
    </w:p>
    <w:p>
      <w:pPr>
        <w:widowControl/>
        <w:jc w:val="left"/>
      </w:pPr>
      <w:r>
        <w:rPr>
          <w:sz w:val="18"/>
        </w:rPr>
        <w:t>[1] Project dataset. Health Insurance Fraud Claims.xlsx. Repository workbook, 4,500 records and 19 columns. Source origin, collection protocol and currency are undocumented. SHA-256 952b6e23c9845b9086994c08bc81323575968c318f845ea69e3b9609614b6a45.</w:t>
      </w:r>
    </w:p>
    <w:p>
      <w:pPr>
        <w:widowControl/>
        <w:jc w:val="left"/>
      </w:pPr>
      <w:r>
        <w:rPr>
          <w:sz w:val="18"/>
        </w:rPr>
        <w:t>[2] Scikit learn. Average precision score. https://scikit-learn.org/stable/modules/generated/sklearn.metrics.average_precision_score.html Accessed 20 October 2026.</w:t>
      </w:r>
    </w:p>
    <w:p>
      <w:pPr>
        <w:widowControl/>
        <w:jc w:val="left"/>
      </w:pPr>
      <w:r>
        <w:rPr>
          <w:sz w:val="18"/>
        </w:rPr>
        <w:t>[3] Scikit learn. Metrics and scoring. https://scikit-learn.org/stable/modules/model_evaluation.html Accessed 20 October 2026.</w:t>
      </w:r>
    </w:p>
    <w:p>
      <w:pPr>
        <w:widowControl/>
        <w:jc w:val="left"/>
      </w:pPr>
      <w:r>
        <w:rPr>
          <w:sz w:val="18"/>
        </w:rPr>
        <w:t>[4] Scikit learn. Common pitfalls and recommended practices. https://scikit-learn.org/stable/common_pitfalls.html Accessed 20 October 2026.</w:t>
      </w:r>
    </w:p>
    <w:p>
      <w:pPr>
        <w:widowControl/>
        <w:jc w:val="left"/>
      </w:pPr>
      <w:r>
        <w:rPr>
          <w:sz w:val="18"/>
        </w:rPr>
        <w:t>[5] PyTorch. BCEWithLogitsLoss. https://docs.pytorch.org/docs/stable/generated/torch.nn.BCEWithLogitsLoss.html Accessed 20 October 2026.</w:t>
      </w:r>
    </w:p>
    <w:p>
      <w:pPr>
        <w:widowControl/>
        <w:jc w:val="left"/>
      </w:pPr>
      <w:r>
        <w:rPr>
          <w:sz w:val="18"/>
        </w:rPr>
        <w:t>[6] Gorishniy and colleagues. Y. Gorishniy, I. Rubachev, V. Khrulkov and A. Babenko. Revisiting Deep Learning Models for Tabular Data. NeurIPS 34, 2021. https://proceedings.neurips.cc/paper_files/paper/2021/hash/9d86d83f925f2149e9edb0ac3b49229c-Abstract.html</w:t>
      </w:r>
    </w:p>
    <w:p>
      <w:pPr>
        <w:widowControl/>
        <w:jc w:val="left"/>
      </w:pPr>
      <w:r>
        <w:rPr>
          <w:sz w:val="18"/>
        </w:rPr>
        <w:t>[7] Experiment artifacts. submission/results/metrics.csv, predictions.csv, dataset_audit.json, selection.json, browser_parity.json and run_manifest.json. Reproducible internal experiment, 20 October 2026.</w:t>
      </w:r>
    </w:p>
    <w:sectPr w:rsidR="00FC693F" w:rsidRPr="0006063C" w:rsidSect="00034616">
      <w:footerReference w:type="default" r:id="rId9"/>
      <w:pgSz w:w="11909" w:h="16834"/>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jc w:val="both"/>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line="269" w:lineRule="auto"/>
      <w:outlineLvl w:val="0"/>
    </w:pPr>
    <w:rPr>
      <w:rFonts w:ascii="Times New Roman" w:hAnsi="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40" w:line="269" w:lineRule="auto"/>
      <w:outlineLvl w:val="2"/>
    </w:pPr>
    <w:rPr>
      <w:rFonts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69" w:lineRule="auto"/>
      <w:contextualSpacing/>
      <w:jc w:val="left"/>
    </w:pPr>
    <w:rPr>
      <w:rFonts w:ascii="Times New Roman" w:hAnsi="Times New Roman"/>
      <w:b/>
      <w:color w:val="000000"/>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kern w:val="28"/>
      <w:sz w:val="52"/>
      <w:szCs w:val="52"/>
    </w:rPr>
  </w:style>
  <w:style w:type="paragraph" w:styleId="Subtitle">
    <w:name w:val="Subtitle"/>
    <w:basedOn w:val="Normal"/>
    <w:next w:val="Normal"/>
    <w:link w:val="SubtitleChar"/>
    <w:uiPriority w:val="11"/>
    <w:qFormat/>
    <w:rsid w:val="00FC693F"/>
    <w:pPr>
      <w:numPr>
        <w:ilvl w:val="1"/>
      </w:numPr>
      <w:spacing w:after="140" w:line="269" w:lineRule="auto"/>
      <w:jc w:val="left"/>
    </w:pPr>
    <w:rPr>
      <w:rFonts w:ascii="Times New Roman" w:hAnsi="Times New Roman"/>
      <w:i w:val="0"/>
      <w:iCs/>
      <w:color w:val="000000"/>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u w:val="single"/>
    </w:rPr>
  </w:style>
  <w:style w:type="character" w:styleId="BookTitle">
    <w:name w:val="Book Title"/>
    <w:basedOn w:val="DefaultParagraphFont"/>
    <w:uiPriority w:val="33"/>
    <w:qFormat/>
    <w:rsid w:val="00FC693F"/>
    <w:rPr>
      <w:b/>
      <w:bCs/>
      <w:smallCaps/>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Medical Insurance Claim Fraud Detection</dc:title>
  <dc:subject>Approach 1 and Approach 2</dc:subject>
  <dc:creator>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