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9A52" w14:textId="77777777" w:rsidR="0090316D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1E2AF82F" w14:textId="77777777" w:rsidR="0090316D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2: Scenario-Based</w:t>
      </w:r>
    </w:p>
    <w:p w14:paraId="717FE5FC" w14:textId="77777777" w:rsidR="0090316D" w:rsidRDefault="0090316D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560"/>
        <w:gridCol w:w="2560"/>
        <w:gridCol w:w="2560"/>
        <w:gridCol w:w="2560"/>
      </w:tblGrid>
      <w:tr w:rsidR="0090316D" w14:paraId="3564F844" w14:textId="77777777">
        <w:tc>
          <w:tcPr>
            <w:tcW w:w="2560" w:type="dxa"/>
          </w:tcPr>
          <w:p w14:paraId="52A6D641" w14:textId="77777777" w:rsidR="0090316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6576500E" w14:textId="77777777" w:rsidR="0090316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Computing and Big Data Analytics </w:t>
            </w:r>
          </w:p>
        </w:tc>
        <w:tc>
          <w:tcPr>
            <w:tcW w:w="2560" w:type="dxa"/>
          </w:tcPr>
          <w:p w14:paraId="06EA1E21" w14:textId="77777777" w:rsidR="0090316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5E9280D3" w14:textId="77777777" w:rsidR="0090316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CSA15</w:t>
            </w:r>
          </w:p>
        </w:tc>
      </w:tr>
    </w:tbl>
    <w:p w14:paraId="7D952BD4" w14:textId="77777777" w:rsidR="0090316D" w:rsidRDefault="0090316D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5EBF7021" w14:textId="77777777" w:rsidR="0090316D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13D959A" w14:textId="77777777" w:rsidR="0090316D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62A11933" w14:textId="77777777" w:rsidR="0090316D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595094DD" w14:textId="77777777" w:rsidR="0090316D" w:rsidRDefault="0090316D">
      <w:pPr>
        <w:spacing w:after="40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20"/>
        <w:gridCol w:w="5120"/>
      </w:tblGrid>
      <w:tr w:rsidR="0090316D" w14:paraId="2851D07E" w14:textId="77777777">
        <w:tc>
          <w:tcPr>
            <w:tcW w:w="5120" w:type="dxa"/>
          </w:tcPr>
          <w:p w14:paraId="036BCC3D" w14:textId="77777777" w:rsidR="0090316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5986ED7E" w14:textId="77777777" w:rsidR="0090316D" w:rsidRDefault="00000000">
            <w:pPr>
              <w:spacing w:after="0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65B843D1" w14:textId="77777777" w:rsidR="0090316D" w:rsidRDefault="0090316D">
      <w:pPr>
        <w:rPr>
          <w:sz w:val="24"/>
          <w:szCs w:val="24"/>
        </w:rPr>
      </w:pPr>
    </w:p>
    <w:p w14:paraId="690EA528" w14:textId="77777777" w:rsidR="0090316D" w:rsidRDefault="0090316D">
      <w:pPr>
        <w:pBdr>
          <w:bottom w:val="single" w:sz="6" w:space="1" w:color="A6A6A6"/>
        </w:pBdr>
        <w:rPr>
          <w:sz w:val="24"/>
          <w:szCs w:val="24"/>
        </w:rPr>
      </w:pPr>
    </w:p>
    <w:p w14:paraId="71E2CF83" w14:textId="77777777" w:rsidR="0090316D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253FC895" w14:textId="1147A4F0" w:rsidR="0090316D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A34812">
        <w:rPr>
          <w:sz w:val="24"/>
          <w:szCs w:val="24"/>
        </w:rPr>
        <w:t>GANESH M</w:t>
      </w:r>
      <w:r>
        <w:rPr>
          <w:sz w:val="24"/>
          <w:szCs w:val="24"/>
        </w:rPr>
        <w:t>192</w:t>
      </w:r>
      <w:r w:rsidR="00A34812">
        <w:rPr>
          <w:sz w:val="24"/>
          <w:szCs w:val="24"/>
        </w:rPr>
        <w:t>524034</w:t>
      </w:r>
      <w:r>
        <w:rPr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1AFEB680" w14:textId="77777777" w:rsidR="0090316D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38AC1315" w14:textId="77777777" w:rsidR="0090316D" w:rsidRDefault="0090316D">
      <w:pPr>
        <w:spacing w:after="40"/>
        <w:rPr>
          <w:sz w:val="24"/>
          <w:szCs w:val="24"/>
        </w:rPr>
      </w:pPr>
    </w:p>
    <w:p w14:paraId="3C64EA84" w14:textId="67C17653" w:rsidR="0090316D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Signature of the student: </w:t>
      </w:r>
      <w:r w:rsidR="009432F3">
        <w:rPr>
          <w:sz w:val="24"/>
          <w:szCs w:val="24"/>
        </w:rPr>
        <w:t>GANESH M</w:t>
      </w:r>
    </w:p>
    <w:p w14:paraId="06859449" w14:textId="77777777" w:rsidR="0090316D" w:rsidRDefault="0090316D">
      <w:pPr>
        <w:spacing w:after="40"/>
        <w:rPr>
          <w:sz w:val="24"/>
          <w:szCs w:val="24"/>
        </w:rPr>
      </w:pPr>
    </w:p>
    <w:p w14:paraId="4D966F30" w14:textId="77777777" w:rsidR="0090316D" w:rsidRDefault="0090316D">
      <w:pPr>
        <w:spacing w:after="40"/>
        <w:rPr>
          <w:sz w:val="24"/>
          <w:szCs w:val="24"/>
        </w:rPr>
      </w:pPr>
    </w:p>
    <w:tbl>
      <w:tblPr>
        <w:tblStyle w:val="a1"/>
        <w:tblW w:w="9349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90316D" w14:paraId="35D456AA" w14:textId="77777777">
        <w:trPr>
          <w:trHeight w:val="707"/>
        </w:trPr>
        <w:tc>
          <w:tcPr>
            <w:tcW w:w="1219" w:type="dxa"/>
          </w:tcPr>
          <w:p w14:paraId="1F3466E5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385C2C98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06" w:type="dxa"/>
          </w:tcPr>
          <w:p w14:paraId="43278F0C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Scenario (1)</w:t>
            </w:r>
          </w:p>
        </w:tc>
        <w:tc>
          <w:tcPr>
            <w:tcW w:w="1521" w:type="dxa"/>
          </w:tcPr>
          <w:p w14:paraId="5FA7924E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3AA49719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Identification of Risks / Issues (1)</w:t>
            </w:r>
          </w:p>
        </w:tc>
        <w:tc>
          <w:tcPr>
            <w:tcW w:w="1584" w:type="dxa"/>
          </w:tcPr>
          <w:p w14:paraId="57456EFA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1DBF3EF2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Concepts (1.25)</w:t>
            </w:r>
          </w:p>
        </w:tc>
        <w:tc>
          <w:tcPr>
            <w:tcW w:w="1238" w:type="dxa"/>
          </w:tcPr>
          <w:p w14:paraId="4CDE8063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Decision Justification (1)</w:t>
            </w:r>
          </w:p>
        </w:tc>
        <w:tc>
          <w:tcPr>
            <w:tcW w:w="1265" w:type="dxa"/>
          </w:tcPr>
          <w:p w14:paraId="0EF031D5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19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(075)</w:t>
            </w:r>
          </w:p>
        </w:tc>
        <w:tc>
          <w:tcPr>
            <w:tcW w:w="916" w:type="dxa"/>
          </w:tcPr>
          <w:p w14:paraId="2FB46004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92" w:right="86" w:hanging="183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 (5)</w:t>
            </w:r>
          </w:p>
        </w:tc>
      </w:tr>
      <w:tr w:rsidR="0090316D" w14:paraId="4141EA7F" w14:textId="77777777">
        <w:trPr>
          <w:trHeight w:val="354"/>
        </w:trPr>
        <w:tc>
          <w:tcPr>
            <w:tcW w:w="1219" w:type="dxa"/>
          </w:tcPr>
          <w:p w14:paraId="2E0D901A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606" w:type="dxa"/>
          </w:tcPr>
          <w:p w14:paraId="595DEED7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21" w:type="dxa"/>
          </w:tcPr>
          <w:p w14:paraId="03A08D32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2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84" w:type="dxa"/>
          </w:tcPr>
          <w:p w14:paraId="41555789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38" w:type="dxa"/>
          </w:tcPr>
          <w:p w14:paraId="020BE83B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5" w:type="dxa"/>
          </w:tcPr>
          <w:p w14:paraId="1DD8E186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916" w:type="dxa"/>
          </w:tcPr>
          <w:p w14:paraId="24508D1A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90316D" w14:paraId="47A43768" w14:textId="77777777">
        <w:trPr>
          <w:trHeight w:val="398"/>
        </w:trPr>
        <w:tc>
          <w:tcPr>
            <w:tcW w:w="1219" w:type="dxa"/>
          </w:tcPr>
          <w:p w14:paraId="18CDF1FD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Q1</w:t>
            </w:r>
          </w:p>
        </w:tc>
        <w:tc>
          <w:tcPr>
            <w:tcW w:w="1606" w:type="dxa"/>
          </w:tcPr>
          <w:p w14:paraId="2FC9474F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57C177B7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341A9567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7AE255CC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58027AF4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233C89E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90316D" w14:paraId="25CD1009" w14:textId="77777777">
        <w:trPr>
          <w:trHeight w:val="398"/>
        </w:trPr>
        <w:tc>
          <w:tcPr>
            <w:tcW w:w="1219" w:type="dxa"/>
          </w:tcPr>
          <w:p w14:paraId="01EE5ABD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Q2</w:t>
            </w:r>
          </w:p>
        </w:tc>
        <w:tc>
          <w:tcPr>
            <w:tcW w:w="1606" w:type="dxa"/>
          </w:tcPr>
          <w:p w14:paraId="301BC2DA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340EF5E5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3CFC34B9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327F7194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5E350278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32ACAF47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90316D" w14:paraId="60C20C20" w14:textId="77777777">
        <w:trPr>
          <w:trHeight w:val="397"/>
        </w:trPr>
        <w:tc>
          <w:tcPr>
            <w:tcW w:w="1219" w:type="dxa"/>
          </w:tcPr>
          <w:p w14:paraId="46ECE98F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Q3</w:t>
            </w:r>
          </w:p>
        </w:tc>
        <w:tc>
          <w:tcPr>
            <w:tcW w:w="1606" w:type="dxa"/>
          </w:tcPr>
          <w:p w14:paraId="09C8E6F3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7B509D24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5EA95601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21553BCF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5DE426B3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14AD8B34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90316D" w14:paraId="1B43ACC2" w14:textId="77777777">
        <w:trPr>
          <w:trHeight w:val="398"/>
        </w:trPr>
        <w:tc>
          <w:tcPr>
            <w:tcW w:w="1219" w:type="dxa"/>
          </w:tcPr>
          <w:p w14:paraId="0F581759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Q4</w:t>
            </w:r>
          </w:p>
        </w:tc>
        <w:tc>
          <w:tcPr>
            <w:tcW w:w="1606" w:type="dxa"/>
          </w:tcPr>
          <w:p w14:paraId="41845E24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0E1C5662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702AB621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319A0999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7D6F04ED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271CE9D7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90316D" w14:paraId="2CC4EE1E" w14:textId="77777777">
        <w:trPr>
          <w:trHeight w:val="398"/>
        </w:trPr>
        <w:tc>
          <w:tcPr>
            <w:tcW w:w="1219" w:type="dxa"/>
          </w:tcPr>
          <w:p w14:paraId="0E47452D" w14:textId="77777777" w:rsidR="009031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Q5</w:t>
            </w:r>
          </w:p>
        </w:tc>
        <w:tc>
          <w:tcPr>
            <w:tcW w:w="1606" w:type="dxa"/>
          </w:tcPr>
          <w:p w14:paraId="5F3599C0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265842C1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23059E16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298E7FC5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5AC870DF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569EFFB7" w14:textId="77777777" w:rsidR="0090316D" w:rsidRDefault="00903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19EFB830" w14:textId="77777777" w:rsidR="0090316D" w:rsidRDefault="0090316D">
      <w:pPr>
        <w:spacing w:after="40"/>
        <w:rPr>
          <w:sz w:val="24"/>
          <w:szCs w:val="24"/>
        </w:rPr>
      </w:pPr>
    </w:p>
    <w:p w14:paraId="1C79C143" w14:textId="77777777" w:rsidR="0090316D" w:rsidRDefault="0090316D">
      <w:pPr>
        <w:spacing w:after="40"/>
        <w:rPr>
          <w:sz w:val="24"/>
          <w:szCs w:val="24"/>
        </w:rPr>
      </w:pPr>
    </w:p>
    <w:p w14:paraId="05F7E72F" w14:textId="77777777" w:rsidR="0090316D" w:rsidRDefault="0090316D">
      <w:pPr>
        <w:spacing w:after="40"/>
        <w:rPr>
          <w:sz w:val="24"/>
          <w:szCs w:val="24"/>
        </w:rPr>
      </w:pPr>
    </w:p>
    <w:p w14:paraId="126CA043" w14:textId="77777777" w:rsidR="0090316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121"/>
        </w:tabs>
        <w:spacing w:after="120"/>
        <w:ind w:left="360"/>
        <w:rPr>
          <w:color w:val="000000"/>
        </w:rPr>
      </w:pPr>
      <w:r>
        <w:rPr>
          <w:color w:val="000000"/>
        </w:rPr>
        <w:t>Signature of the Faculty</w:t>
      </w:r>
      <w:r>
        <w:rPr>
          <w:color w:val="000000"/>
        </w:rPr>
        <w:tab/>
        <w:t>Total Marks Awarded:</w:t>
      </w:r>
    </w:p>
    <w:p w14:paraId="6C4CE7EE" w14:textId="77777777" w:rsidR="0090316D" w:rsidRDefault="0090316D">
      <w:pPr>
        <w:spacing w:after="40"/>
        <w:rPr>
          <w:sz w:val="24"/>
          <w:szCs w:val="24"/>
        </w:rPr>
      </w:pPr>
    </w:p>
    <w:p w14:paraId="5D6A7B23" w14:textId="77777777" w:rsidR="0090316D" w:rsidRDefault="0090316D">
      <w:pPr>
        <w:spacing w:after="40"/>
        <w:rPr>
          <w:sz w:val="24"/>
          <w:szCs w:val="24"/>
        </w:rPr>
      </w:pPr>
    </w:p>
    <w:p w14:paraId="5902DA49" w14:textId="77777777" w:rsidR="0090316D" w:rsidRDefault="0090316D">
      <w:pPr>
        <w:spacing w:after="40"/>
        <w:rPr>
          <w:sz w:val="24"/>
          <w:szCs w:val="24"/>
        </w:rPr>
      </w:pPr>
    </w:p>
    <w:p w14:paraId="5D7D03ED" w14:textId="77777777" w:rsidR="0090316D" w:rsidRDefault="00000000">
      <w:pPr>
        <w:spacing w:after="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</w:p>
    <w:p w14:paraId="200C7A09" w14:textId="77777777" w:rsidR="009031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financial institution plans to deploy a private cloud with strict compliance requirements. Recommend an appropriate cloud datacenter architecture and explain how virtualization and isolation mechanisms can ensure security and regulatory compliance.</w:t>
      </w:r>
    </w:p>
    <w:p w14:paraId="19B26411" w14:textId="77777777" w:rsidR="009031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SaaS provider experiences inconsistent application performance due to noisy neighbor effects in a virtualized environment. Analyze the root cause and propose resource allocation and hypervisor-level solutions.</w:t>
      </w:r>
    </w:p>
    <w:p w14:paraId="6BB5ADE0" w14:textId="77777777" w:rsidR="009031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 organization wants to migrate legacy monolithic applications into a Service-Oriented Architecture (SOA) in the cloud. Explain the migration strategy and how SOA improves scalability and maintainability.</w:t>
      </w:r>
    </w:p>
    <w:p w14:paraId="33DC5214" w14:textId="77777777" w:rsidR="009031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government agency is implementing identity federation across multiple departments using cloud services. Explain how identity management, authentication, and privacy policies should be designed to ensure secure access.</w:t>
      </w:r>
    </w:p>
    <w:p w14:paraId="26458BBB" w14:textId="77777777" w:rsidR="009031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cloud provider wants to implement real-time user presence detection for collaborative applications. Discuss how presence services can be integrated into cloud architecture while maintaining user privacy and system scalability.</w:t>
      </w:r>
    </w:p>
    <w:p w14:paraId="550E3CD4" w14:textId="77777777" w:rsidR="0090316D" w:rsidRDefault="0090316D"/>
    <w:p w14:paraId="1E407E30" w14:textId="77777777" w:rsidR="0090316D" w:rsidRDefault="0090316D"/>
    <w:p w14:paraId="2B35C3DE" w14:textId="77777777" w:rsidR="0090316D" w:rsidRDefault="0090316D"/>
    <w:p w14:paraId="48A7D99D" w14:textId="77777777" w:rsidR="0090316D" w:rsidRDefault="0090316D"/>
    <w:p w14:paraId="6A543E30" w14:textId="77777777" w:rsidR="0090316D" w:rsidRDefault="0090316D"/>
    <w:p w14:paraId="3CE2B5B1" w14:textId="77777777" w:rsidR="0090316D" w:rsidRDefault="0090316D"/>
    <w:p w14:paraId="6061239C" w14:textId="77777777" w:rsidR="0090316D" w:rsidRDefault="0090316D"/>
    <w:p w14:paraId="09A00F7C" w14:textId="77777777" w:rsidR="0090316D" w:rsidRDefault="0090316D"/>
    <w:p w14:paraId="5C7ECC88" w14:textId="77777777" w:rsidR="0090316D" w:rsidRDefault="0090316D"/>
    <w:p w14:paraId="07795800" w14:textId="77777777" w:rsidR="0090316D" w:rsidRDefault="0090316D"/>
    <w:p w14:paraId="55319C44" w14:textId="77777777" w:rsidR="0090316D" w:rsidRDefault="0090316D"/>
    <w:p w14:paraId="6B44B33E" w14:textId="77777777" w:rsidR="0090316D" w:rsidRDefault="0090316D"/>
    <w:p w14:paraId="459D49DC" w14:textId="77777777" w:rsidR="0090316D" w:rsidRDefault="0090316D"/>
    <w:p w14:paraId="3E274BF9" w14:textId="77777777" w:rsidR="0090316D" w:rsidRDefault="0090316D"/>
    <w:p w14:paraId="049A5B23" w14:textId="1500D32A" w:rsidR="0090316D" w:rsidRDefault="00A34812">
      <w:pPr>
        <w:pStyle w:val="Heading1"/>
        <w:keepNext w:val="0"/>
        <w:keepLines w:val="0"/>
        <w:spacing w:after="120"/>
        <w:jc w:val="center"/>
        <w:rPr>
          <w:rFonts w:ascii="Times New Roman" w:eastAsia="Times New Roman" w:hAnsi="Times New Roman" w:cs="Times New Roman"/>
          <w:color w:val="000000"/>
          <w:sz w:val="46"/>
          <w:szCs w:val="46"/>
        </w:rPr>
      </w:pPr>
      <w:r>
        <w:rPr>
          <w:rFonts w:ascii="Times New Roman" w:eastAsia="Times New Roman" w:hAnsi="Times New Roman" w:cs="Times New Roman"/>
          <w:color w:val="000000"/>
          <w:sz w:val="46"/>
          <w:szCs w:val="46"/>
        </w:rPr>
        <w:lastRenderedPageBreak/>
        <w:t>CLOUD COMPUTING AND BIG DATA ANALYTICS</w:t>
      </w:r>
    </w:p>
    <w:p w14:paraId="30A712BA" w14:textId="77777777" w:rsidR="0090316D" w:rsidRDefault="00000000">
      <w:pPr>
        <w:pStyle w:val="Heading1"/>
        <w:keepNext w:val="0"/>
        <w:keepLines w:val="0"/>
        <w:spacing w:after="120"/>
        <w:jc w:val="center"/>
        <w:rPr>
          <w:rFonts w:ascii="Times New Roman" w:eastAsia="Times New Roman" w:hAnsi="Times New Roman" w:cs="Times New Roman"/>
          <w:color w:val="000000"/>
          <w:sz w:val="46"/>
          <w:szCs w:val="46"/>
        </w:rPr>
      </w:pPr>
      <w:bookmarkStart w:id="0" w:name="_r0p6zoq7jsg7" w:colFirst="0" w:colLast="0"/>
      <w:bookmarkEnd w:id="0"/>
      <w:r>
        <w:rPr>
          <w:rFonts w:ascii="Times New Roman" w:eastAsia="Times New Roman" w:hAnsi="Times New Roman" w:cs="Times New Roman"/>
          <w:color w:val="000000"/>
          <w:sz w:val="46"/>
          <w:szCs w:val="46"/>
        </w:rPr>
        <w:t>Assessment Tool 2 – Scenario-Based</w:t>
      </w:r>
    </w:p>
    <w:p w14:paraId="14862837" w14:textId="77777777" w:rsidR="0090316D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aj8wzpwb5cd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Q1. Private Cloud for a Financial Institution</w:t>
      </w:r>
    </w:p>
    <w:p w14:paraId="79C173C2" w14:textId="77777777" w:rsidR="0090316D" w:rsidRDefault="00000000">
      <w:r>
        <w:t>Scenario Understanding:</w:t>
      </w:r>
      <w:r>
        <w:br/>
        <w:t xml:space="preserve"> A financial institution requires a private cloud that satisfies strict regulatory and security requirements.</w:t>
      </w:r>
    </w:p>
    <w:p w14:paraId="0D82D902" w14:textId="77777777" w:rsidR="0090316D" w:rsidRDefault="00000000">
      <w:r>
        <w:t>Recommended Architecture:</w:t>
      </w:r>
      <w:r>
        <w:br/>
        <w:t xml:space="preserve"> Deploy a private cloud with clustered servers, redundant storage, segmented virtual networks, and a Type-1 hypervisor (such as VMware ESXi or Microsoft Hyper-V). High availability and disaster recovery should also be included.</w:t>
      </w:r>
    </w:p>
    <w:p w14:paraId="6FCBDB32" w14:textId="77777777" w:rsidR="0090316D" w:rsidRDefault="00000000">
      <w:r>
        <w:t>Virtualization and Isolation Mechanisms:</w:t>
      </w:r>
      <w:r>
        <w:br/>
        <w:t xml:space="preserve"> • Dedicated virtual machines for critical workloads</w:t>
      </w:r>
      <w:r>
        <w:br/>
        <w:t xml:space="preserve"> • Secure hypervisor with regular patching</w:t>
      </w:r>
      <w:r>
        <w:br/>
        <w:t xml:space="preserve"> • Network isolation using VLANs or SDN</w:t>
      </w:r>
      <w:r>
        <w:br/>
        <w:t xml:space="preserve"> • Encryption for data at rest and in transit</w:t>
      </w:r>
      <w:r>
        <w:br/>
        <w:t xml:space="preserve"> • Role-Based Access Control (RBAC)</w:t>
      </w:r>
      <w:r>
        <w:br/>
        <w:t xml:space="preserve"> • Continuous auditing and monitoring</w:t>
      </w:r>
    </w:p>
    <w:p w14:paraId="7AA4F337" w14:textId="77777777" w:rsidR="0090316D" w:rsidRDefault="00000000">
      <w:r>
        <w:t>Decision Justification:</w:t>
      </w:r>
      <w:r>
        <w:br/>
        <w:t xml:space="preserve"> These mechanisms protect sensitive financial data, prevent unauthorized access, and help meet compliance standards such as PCI-DSS and regulatory audit requirements.</w:t>
      </w:r>
    </w:p>
    <w:p w14:paraId="25136E1B" w14:textId="77777777" w:rsidR="0090316D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idre9f2o1fem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Q2. Noisy Neighbor Effect in SaaS</w:t>
      </w:r>
    </w:p>
    <w:p w14:paraId="7573D5A7" w14:textId="77777777" w:rsidR="0090316D" w:rsidRDefault="00000000">
      <w:r>
        <w:t>Scenario Understanding:</w:t>
      </w:r>
      <w:r>
        <w:br/>
        <w:t xml:space="preserve"> Multiple tenants share the same physical resources, causing inconsistent application performance.</w:t>
      </w:r>
    </w:p>
    <w:p w14:paraId="77D84B52" w14:textId="77777777" w:rsidR="0090316D" w:rsidRDefault="00000000">
      <w:r>
        <w:t>Root Cause:</w:t>
      </w:r>
      <w:r>
        <w:br/>
        <w:t xml:space="preserve"> The noisy neighbor effect occurs when one VM consumes excessive CPU, memory, storage, or network bandwidth, reducing resources available to other VMs.</w:t>
      </w:r>
    </w:p>
    <w:p w14:paraId="3FCE791B" w14:textId="77777777" w:rsidR="0090316D" w:rsidRDefault="00000000">
      <w:r>
        <w:t>Solutions:</w:t>
      </w:r>
      <w:r>
        <w:br/>
        <w:t xml:space="preserve"> • CPU and memory reservations</w:t>
      </w:r>
      <w:r>
        <w:br/>
        <w:t xml:space="preserve"> • Resource limits and quotas</w:t>
      </w:r>
      <w:r>
        <w:br/>
        <w:t xml:space="preserve"> • Hypervisor resource scheduling</w:t>
      </w:r>
      <w:r>
        <w:br/>
        <w:t xml:space="preserve"> • Load balancing</w:t>
      </w:r>
      <w:r>
        <w:br/>
        <w:t xml:space="preserve"> • Live VM migration</w:t>
      </w:r>
      <w:r>
        <w:br/>
        <w:t xml:space="preserve"> • Quality of Service (QoS) policies</w:t>
      </w:r>
    </w:p>
    <w:p w14:paraId="6F08E56F" w14:textId="77777777" w:rsidR="0090316D" w:rsidRDefault="00000000">
      <w:r>
        <w:t>Decision Justification:</w:t>
      </w:r>
      <w:r>
        <w:br/>
        <w:t xml:space="preserve"> Proper resource allocation and hypervisor-level controls ensure predictable performance and fair resource sharing among tenants.</w:t>
      </w:r>
    </w:p>
    <w:p w14:paraId="486C77C3" w14:textId="77777777" w:rsidR="00A34812" w:rsidRDefault="00A34812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431uu5rqgd2y" w:colFirst="0" w:colLast="0"/>
      <w:bookmarkEnd w:id="3"/>
    </w:p>
    <w:p w14:paraId="73CF0A7B" w14:textId="77777777" w:rsidR="00A34812" w:rsidRDefault="00A34812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56D15B" w14:textId="043B58EC" w:rsidR="0090316D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Q3. Migrating Monolithic Applications to SOA</w:t>
      </w:r>
    </w:p>
    <w:p w14:paraId="74AA579D" w14:textId="77777777" w:rsidR="0090316D" w:rsidRDefault="00000000">
      <w:r>
        <w:t>Scenario Understanding:</w:t>
      </w:r>
      <w:r>
        <w:br/>
        <w:t xml:space="preserve"> The organization wants to modernize legacy applications by adopting cloud-based SOA.</w:t>
      </w:r>
    </w:p>
    <w:p w14:paraId="45F00DC8" w14:textId="77777777" w:rsidR="0090316D" w:rsidRDefault="00000000">
      <w:r>
        <w:t>Migration Strategy:</w:t>
      </w:r>
      <w:r>
        <w:br/>
        <w:t xml:space="preserve"> • Analyze existing application modules</w:t>
      </w:r>
      <w:r>
        <w:br/>
        <w:t xml:space="preserve"> • Identify reusable business services</w:t>
      </w:r>
      <w:r>
        <w:br/>
        <w:t xml:space="preserve"> • Develop APIs for each service</w:t>
      </w:r>
      <w:r>
        <w:br/>
        <w:t xml:space="preserve"> • Migrate services incrementally</w:t>
      </w:r>
      <w:r>
        <w:br/>
        <w:t xml:space="preserve"> • Deploy services independently in the cloud</w:t>
      </w:r>
    </w:p>
    <w:p w14:paraId="254D934A" w14:textId="77777777" w:rsidR="0090316D" w:rsidRDefault="00000000">
      <w:r>
        <w:t>Benefits of SOA:</w:t>
      </w:r>
      <w:r>
        <w:br/>
        <w:t xml:space="preserve"> • Better scalability</w:t>
      </w:r>
      <w:r>
        <w:br/>
        <w:t xml:space="preserve"> • Easier maintenance</w:t>
      </w:r>
      <w:r>
        <w:br/>
        <w:t xml:space="preserve"> • Independent deployment</w:t>
      </w:r>
      <w:r>
        <w:br/>
        <w:t xml:space="preserve"> • Improved interoperability</w:t>
      </w:r>
      <w:r>
        <w:br/>
        <w:t xml:space="preserve"> • Faster application updates</w:t>
      </w:r>
    </w:p>
    <w:p w14:paraId="2C184B5C" w14:textId="77777777" w:rsidR="0090316D" w:rsidRDefault="00000000">
      <w:r>
        <w:t>Decision Justification:</w:t>
      </w:r>
      <w:r>
        <w:br/>
        <w:t xml:space="preserve"> SOA enables flexible scaling of individual services and simplifies future application enhancements.</w:t>
      </w:r>
    </w:p>
    <w:p w14:paraId="3B0FDB38" w14:textId="77777777" w:rsidR="0090316D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mhdfbgckfkdc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Q4. Identity Federation for Government Cloud</w:t>
      </w:r>
    </w:p>
    <w:p w14:paraId="6A59C22B" w14:textId="77777777" w:rsidR="0090316D" w:rsidRDefault="00000000">
      <w:r>
        <w:t>Scenario Understanding:</w:t>
      </w:r>
      <w:r>
        <w:br/>
        <w:t xml:space="preserve"> Multiple government departments require secure access to shared cloud resources.</w:t>
      </w:r>
    </w:p>
    <w:p w14:paraId="107AC8C3" w14:textId="77777777" w:rsidR="0090316D" w:rsidRDefault="00000000">
      <w:r>
        <w:t>Identity Management Design:</w:t>
      </w:r>
      <w:r>
        <w:br/>
        <w:t xml:space="preserve"> • Centralized Identity Provider (IdP)</w:t>
      </w:r>
      <w:r>
        <w:br/>
        <w:t xml:space="preserve"> • Single Sign-On (SSO)</w:t>
      </w:r>
      <w:r>
        <w:br/>
        <w:t xml:space="preserve"> • Multi-Factor Authentication (MFA)</w:t>
      </w:r>
      <w:r>
        <w:br/>
        <w:t xml:space="preserve"> • Role-Based Access Control (RBAC)</w:t>
      </w:r>
      <w:r>
        <w:br/>
        <w:t xml:space="preserve"> • Federated identity using standards such as SAML or OAuth/OpenID Connect</w:t>
      </w:r>
    </w:p>
    <w:p w14:paraId="51748BD9" w14:textId="77777777" w:rsidR="0090316D" w:rsidRDefault="00000000">
      <w:r>
        <w:t>Privacy Policies:</w:t>
      </w:r>
      <w:r>
        <w:br/>
        <w:t xml:space="preserve"> • Minimum privilege principle</w:t>
      </w:r>
      <w:r>
        <w:br/>
        <w:t xml:space="preserve"> • Data encryption</w:t>
      </w:r>
      <w:r>
        <w:br/>
        <w:t xml:space="preserve"> • Audit logging</w:t>
      </w:r>
      <w:r>
        <w:br/>
        <w:t xml:space="preserve"> • Compliance with government privacy regulations</w:t>
      </w:r>
    </w:p>
    <w:p w14:paraId="7F25E7B5" w14:textId="77777777" w:rsidR="0090316D" w:rsidRDefault="00000000">
      <w:r>
        <w:t>Decision Justification:</w:t>
      </w:r>
      <w:r>
        <w:br/>
        <w:t xml:space="preserve"> Identity federation simplifies user access while maintaining strong authentication, authorization, and privacy protection.</w:t>
      </w:r>
    </w:p>
    <w:p w14:paraId="5D26AE7D" w14:textId="77777777" w:rsidR="00A34812" w:rsidRDefault="00A34812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mtwt0zjzbmxw" w:colFirst="0" w:colLast="0"/>
      <w:bookmarkEnd w:id="5"/>
    </w:p>
    <w:p w14:paraId="29C444F3" w14:textId="77777777" w:rsidR="00A34812" w:rsidRDefault="00A34812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370FD3" w14:textId="3000CCF9" w:rsidR="0090316D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Q5. Presence Services in Cloud Applications</w:t>
      </w:r>
    </w:p>
    <w:p w14:paraId="17670246" w14:textId="77777777" w:rsidR="0090316D" w:rsidRDefault="00000000">
      <w:r>
        <w:t>Scenario Understanding:</w:t>
      </w:r>
      <w:r>
        <w:br/>
        <w:t xml:space="preserve"> Collaborative applications require real-time user status updates while protecting user privacy.</w:t>
      </w:r>
    </w:p>
    <w:p w14:paraId="65CEEB34" w14:textId="77777777" w:rsidR="0090316D" w:rsidRDefault="00000000">
      <w:r>
        <w:t>Integration into Cloud Architecture:</w:t>
      </w:r>
      <w:r>
        <w:br/>
        <w:t xml:space="preserve"> • Publish–subscribe messaging</w:t>
      </w:r>
      <w:r>
        <w:br/>
        <w:t xml:space="preserve"> • Distributed presence servers</w:t>
      </w:r>
      <w:r>
        <w:br/>
        <w:t xml:space="preserve"> • Load balancers</w:t>
      </w:r>
      <w:r>
        <w:br/>
        <w:t xml:space="preserve"> • Caching</w:t>
      </w:r>
      <w:r>
        <w:br/>
        <w:t xml:space="preserve"> • Auto scaling</w:t>
      </w:r>
      <w:r>
        <w:br/>
        <w:t xml:space="preserve"> • Microservices architecture</w:t>
      </w:r>
    </w:p>
    <w:p w14:paraId="4E22176F" w14:textId="77777777" w:rsidR="0090316D" w:rsidRDefault="00000000">
      <w:r>
        <w:t>Privacy Measures:</w:t>
      </w:r>
      <w:r>
        <w:br/>
        <w:t xml:space="preserve"> • User consent for presence sharing</w:t>
      </w:r>
      <w:r>
        <w:br/>
        <w:t xml:space="preserve"> • Encrypted communication</w:t>
      </w:r>
      <w:r>
        <w:br/>
        <w:t xml:space="preserve"> • Access control policies</w:t>
      </w:r>
      <w:r>
        <w:br/>
        <w:t xml:space="preserve"> • Limited data retention</w:t>
      </w:r>
    </w:p>
    <w:p w14:paraId="0CE9EC99" w14:textId="77777777" w:rsidR="0090316D" w:rsidRDefault="00000000">
      <w:r>
        <w:t>Decision Justification:</w:t>
      </w:r>
      <w:r>
        <w:br/>
        <w:t xml:space="preserve"> A distributed architecture provides real-time updates, efficient scalability, and strong privacy protection for users.</w:t>
      </w:r>
    </w:p>
    <w:sectPr w:rsidR="0090316D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0DDBF6-C001-4B01-92B9-BDF5EA96C1A9}"/>
    <w:embedBold r:id="rId2" w:fontKey="{75997CA2-3E75-4425-8653-9BC9B99F305F}"/>
    <w:embedItalic r:id="rId3" w:fontKey="{4A56F784-F65F-4451-96D1-641598883B50}"/>
    <w:embedBoldItalic r:id="rId4" w:fontKey="{6480417F-3032-4032-A149-438E51C358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40C4E94-6BAA-4B00-8CA9-227CA6D547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07387"/>
    <w:multiLevelType w:val="multilevel"/>
    <w:tmpl w:val="81365D48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1229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16D"/>
    <w:rsid w:val="00586687"/>
    <w:rsid w:val="0090316D"/>
    <w:rsid w:val="009432F3"/>
    <w:rsid w:val="00A34812"/>
    <w:rsid w:val="00E4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F7986"/>
  <w15:docId w15:val="{34EBD257-FD68-451E-8020-9479D409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Ganesh M</cp:lastModifiedBy>
  <cp:revision>3</cp:revision>
  <dcterms:created xsi:type="dcterms:W3CDTF">2026-07-29T06:04:00Z</dcterms:created>
  <dcterms:modified xsi:type="dcterms:W3CDTF">2026-07-29T06:06:00Z</dcterms:modified>
</cp:coreProperties>
</file>