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4320"/>
        <w:gridCol w:w="4320"/>
      </w:tblGrid>
      <w:tr>
        <w:tc>
          <w:tcPr>
            <w:tcW w:type="dxa" w:w="4320"/>
          </w:tcPr>
          <w:p>
            <w:r>
              <w:drawing>
                <wp:inline xmlns:a="http://schemas.openxmlformats.org/drawingml/2006/main" xmlns:pic="http://schemas.openxmlformats.org/drawingml/2006/picture">
                  <wp:extent cx="2743200" cy="1354583"/>
                  <wp:docPr id="1" name="Picture 1"/>
                  <wp:cNvGraphicFramePr>
                    <a:graphicFrameLocks noChangeAspect="1"/>
                  </wp:cNvGraphicFramePr>
                  <a:graphic>
                    <a:graphicData uri="http://schemas.openxmlformats.org/drawingml/2006/picture">
                      <pic:pic>
                        <pic:nvPicPr>
                          <pic:cNvPr id="0" name="bch_logo.png"/>
                          <pic:cNvPicPr/>
                        </pic:nvPicPr>
                        <pic:blipFill>
                          <a:blip r:embed="rId9"/>
                          <a:stretch>
                            <a:fillRect/>
                          </a:stretch>
                        </pic:blipFill>
                        <pic:spPr>
                          <a:xfrm>
                            <a:off x="0" y="0"/>
                            <a:ext cx="2743200" cy="1354583"/>
                          </a:xfrm>
                          <a:prstGeom prst="rect"/>
                        </pic:spPr>
                      </pic:pic>
                    </a:graphicData>
                  </a:graphic>
                </wp:inline>
              </w:drawing>
            </w:r>
          </w:p>
        </w:tc>
        <w:tc>
          <w:tcPr>
            <w:tcW w:type="dxa" w:w="4320"/>
          </w:tcPr>
          <w:p>
            <w:pPr>
              <w:jc w:val="right"/>
            </w:pPr>
            <w:r>
              <w:drawing>
                <wp:inline xmlns:a="http://schemas.openxmlformats.org/drawingml/2006/main" xmlns:pic="http://schemas.openxmlformats.org/drawingml/2006/picture">
                  <wp:extent cx="1371600" cy="320298"/>
                  <wp:docPr id="2" name="Picture 2"/>
                  <wp:cNvGraphicFramePr>
                    <a:graphicFrameLocks noChangeAspect="1"/>
                  </wp:cNvGraphicFramePr>
                  <a:graphic>
                    <a:graphicData uri="http://schemas.openxmlformats.org/drawingml/2006/picture">
                      <pic:pic>
                        <pic:nvPicPr>
                          <pic:cNvPr id="0" name="hms_logo.png"/>
                          <pic:cNvPicPr/>
                        </pic:nvPicPr>
                        <pic:blipFill>
                          <a:blip r:embed="rId10"/>
                          <a:stretch>
                            <a:fillRect/>
                          </a:stretch>
                        </pic:blipFill>
                        <pic:spPr>
                          <a:xfrm>
                            <a:off x="0" y="0"/>
                            <a:ext cx="1371600" cy="320298"/>
                          </a:xfrm>
                          <a:prstGeom prst="rect"/>
                        </pic:spPr>
                      </pic:pic>
                    </a:graphicData>
                  </a:graphic>
                </wp:inline>
              </w:drawing>
            </w:r>
          </w:p>
        </w:tc>
      </w:tr>
    </w:tbl>
    <w:p>
      <w:pPr>
        <w:pStyle w:val="Normal"/>
      </w:pPr>
      <w:r>
        <w:rPr/>
        <w:br/>
      </w:r>
    </w:p>
    <w:p>
      <w:pPr>
        <w:pStyle w:val="Normal"/>
        <w:jc w:val="left"/>
      </w:pPr>
      <w:r>
        <w:rPr/>
        <w:t>[Current Date]</w:t>
      </w:r>
    </w:p>
    <w:p>
      <w:pPr>
        <w:pStyle w:val="Normal"/>
      </w:pPr>
      <w:r>
        <w:rPr/>
        <w:br/>
        <w:t>VIA CERTIFIED MAIL AND EMAIL</w:t>
      </w:r>
    </w:p>
    <w:p>
      <w:pPr>
        <w:pStyle w:val="Normal"/>
      </w:pPr>
      <w:r>
        <w:rPr/>
        <w:t>Legal Division</w:t>
        <w:br/>
        <w:t>Massachusetts Commission Against Discrimination</w:t>
        <w:br/>
        <w:t>One Ashburton Place, 6th Floor</w:t>
        <w:br/>
        <w:t>Boston, MA 02108</w:t>
      </w:r>
    </w:p>
    <w:p>
      <w:pPr>
        <w:pStyle w:val="Normal"/>
      </w:pPr>
      <w:r>
        <w:rPr>
          <w:b/>
        </w:rPr>
        <w:br/>
        <w:t>RE: [MCAD_DOCKET_NUMBER]</w:t>
      </w:r>
    </w:p>
    <w:p>
      <w:pPr>
        <w:pStyle w:val="Normal"/>
      </w:pPr>
      <w:r>
        <w:rPr>
          <w:b/>
        </w:rPr>
        <w:t>Charging Party: [CHARGING_PARTY]</w:t>
      </w:r>
    </w:p>
    <w:p>
      <w:pPr>
        <w:pStyle w:val="Normal"/>
      </w:pPr>
      <w:r>
        <w:rPr>
          <w:b/>
        </w:rPr>
        <w:t>Respondent: [RESPONDENT]</w:t>
      </w:r>
    </w:p>
    <w:p>
      <w:pPr>
        <w:pStyle w:val="Normal"/>
      </w:pPr>
      <w:r>
        <w:rPr/>
        <w:br/>
        <w:t>Dear Investigator,</w:t>
      </w:r>
    </w:p>
    <w:p>
      <w:pPr>
        <w:pStyle w:val="Normal"/>
      </w:pPr>
      <w:r>
        <w:rPr/>
        <w:br/>
        <w:t>Respondent, Boston Children's Hospital ("Respondent" or "BCH"), submits this Position Statement in response to the Charge of Discrimination filed by the Charging Party, [CHARGING_PARTY] ("Charging Party").</w:t>
      </w:r>
    </w:p>
    <w:p>
      <w:pPr>
        <w:pStyle w:val="Normal"/>
      </w:pPr>
      <w:r>
        <w:rPr>
          <w:b/>
        </w:rPr>
        <w:br/>
        <w:t>I. INTRODUCTION</w:t>
      </w:r>
    </w:p>
    <w:p>
      <w:pPr>
        <w:pStyle w:val="Normal"/>
      </w:pPr>
      <w:r>
        <w:rPr/>
        <w:t>Respondent is a world-renowned pediatric hospital dedicated to the highest standards of patient care and professional conduct. Respondent denies any and all allegations of discrimination or retaliation and maintains that all employment actions taken with respect to the Charging Party were based on legitimate, non-discriminatory, and non-retaliatory business and operational needs.</w:t>
      </w:r>
    </w:p>
    <w:p>
      <w:pPr>
        <w:pStyle w:val="Normal"/>
      </w:pPr>
      <w:r>
        <w:rPr>
          <w:b/>
        </w:rPr>
        <w:br/>
        <w:t>II. RESPONDENT'S BACKGROUND</w:t>
      </w:r>
    </w:p>
    <w:p>
      <w:pPr>
        <w:pStyle w:val="Normal"/>
      </w:pPr>
      <w:r>
        <w:rPr/>
        <w:t>Boston Children's Hospital provides complex pediatric specialty care and is a primary teaching hospital of Harvard Medical School. The Hospital maintains strict policies prohibiting discrimination, harassment, and retaliation in any form.</w:t>
      </w:r>
    </w:p>
    <w:p>
      <w:r>
        <w:br w:type="page"/>
      </w:r>
    </w:p>
    <w:p>
      <w:pPr>
        <w:spacing w:before="480"/>
        <w:jc w:val="center"/>
      </w:pPr>
      <w:r>
        <w:rPr>
          <w:b/>
        </w:rPr>
        <w:t>III.</w:t>
      </w:r>
    </w:p>
    <w:p>
      <w:pPr>
        <w:spacing w:after="240"/>
        <w:jc w:val="center"/>
      </w:pPr>
      <w:r>
        <w:rPr>
          <w:b/>
        </w:rPr>
        <w:t>FACTS AND ALLEGATIONS</w:t>
      </w:r>
    </w:p>
    <w:p>
      <w:r>
        <w:rPr>
          <w:b/>
          <w:u w:val="single"/>
        </w:rPr>
        <w:t>Allegation No. 1:</w:t>
      </w:r>
      <w:r>
        <w:t xml:space="preserve"> I, Andrea Roxton, the Complainant, believe that I was discriminated against by Boston Children's Hospital and Genevieve Benoit, on the basis of National Origin, Age, Disability, Race, Color and Retaliation.</w:t>
      </w:r>
    </w:p>
    <w:p>
      <w:pPr>
        <w:spacing w:after="240"/>
      </w:pPr>
      <w:r>
        <w:rPr>
          <w:b/>
          <w:u w:val="single"/>
        </w:rPr>
        <w:t>Response No. 1:</w:t>
      </w:r>
      <w:r>
        <w:t xml:space="preserve"> The Respondent denies that it discriminated against Ms. Roxton on any unlawful basis, including on the basis of National Origin, Age, Disability, Race, Color, or Retaliation. The allegation states only a conclusory belief and identifies no adverse action, comparators, specific incidents, or facts establishing a causal connection under M.G.L. c. 151B, the ADA, the ADEA, or Title VII. Accordingly, the allegation is unsupported by evidence and fails to state a factual basis for liability.</w:t>
      </w:r>
    </w:p>
    <w:p>
      <w:r>
        <w:rPr>
          <w:b/>
          <w:u w:val="single"/>
        </w:rPr>
        <w:t>Allegation No. 2:</w:t>
      </w:r>
      <w:r>
        <w:t xml:space="preserve"> I, Andrea Roxton, am the Complainant in this matter.</w:t>
      </w:r>
    </w:p>
    <w:p>
      <w:pPr>
        <w:spacing w:after="240"/>
      </w:pPr>
      <w:r>
        <w:rPr>
          <w:b/>
          <w:u w:val="single"/>
        </w:rPr>
        <w:t>Response No. 2:</w:t>
      </w:r>
      <w:r>
        <w:t xml:space="preserve"> The Respondent denies the allegation. The allegation that "I, Andrea Roxton, am the Complainant in this matter" is a jurisdictional identification statement and not a substantive allegation of unlawful conduct. The Respondent denies any liability and requires the charging party to prove each element of a cognizable claim under Chapter 151B and any applicable federal law.</w:t>
      </w:r>
    </w:p>
    <w:p>
      <w:r>
        <w:rPr>
          <w:b/>
          <w:u w:val="single"/>
        </w:rPr>
        <w:t>Allegation No. 3:</w:t>
      </w:r>
      <w:r>
        <w:t xml:space="preserve"> I am a 59-year-old Black woman. I was born in Jamaica in 1966, immigrated to the United States in 1979, and am a naturalized United States citizen.</w:t>
      </w:r>
    </w:p>
    <w:p>
      <w:pPr>
        <w:spacing w:after="240"/>
      </w:pPr>
      <w:r>
        <w:rPr>
          <w:b/>
          <w:u w:val="single"/>
        </w:rPr>
        <w:t>Response No. 3:</w:t>
      </w:r>
      <w:r>
        <w:t xml:space="preserve"> The Respondent does not dispute the charging party’s self-described protected characteristics, including that she is a 59-year-old Black woman, born in Jamaica in 1966, immigrated to the United States in 1979, and is a naturalized United States citizen. However, those facts alone do not establish discrimination, and the Respondent denies that any adverse action was caused by unlawful animus. Liability under Title VII and M.G.L. c. 151B requires proof of discriminatory intent and causation, which is absent here. The Respondent further denies that the cited characteristics were a factor in any employment decision.</w:t>
      </w:r>
    </w:p>
    <w:p>
      <w:r>
        <w:rPr>
          <w:b/>
          <w:u w:val="single"/>
        </w:rPr>
        <w:t>Allegation No. 4:</w:t>
      </w:r>
      <w:r>
        <w:t xml:space="preserve"> I have suffered from chronic medical conditions since approximately my mid-30s. These include hypertension and diabetes, both of which substantially limit one or more major life activities.</w:t>
      </w:r>
    </w:p>
    <w:p>
      <w:pPr>
        <w:spacing w:after="240"/>
      </w:pPr>
      <w:r>
        <w:rPr>
          <w:b/>
          <w:u w:val="single"/>
        </w:rPr>
        <w:t>Response No. 4:</w:t>
      </w:r>
      <w:r>
        <w:t xml:space="preserve"> The Respondent does not concede the legal characterization of any alleged impairment or disability. The Respondent lacks sufficient information to admit or deny the charging party’s assertion that he or she has suffered from chronic medical conditions since approximately his or her mid-30s, including hypertension and diabetes, or that those conditions substantially limit one or more major life activities. Even assuming coverage, the charging party must still prove a failure to accommodate or other actionable adverse action, and the Respondent denies any such conduct.</w:t>
      </w:r>
    </w:p>
    <w:p>
      <w:r>
        <w:rPr>
          <w:b/>
          <w:u w:val="single"/>
        </w:rPr>
        <w:t>Allegation No. 5:</w:t>
      </w:r>
      <w:r>
        <w:t xml:space="preserve"> I was an employee in good standing at Boston Childrens Hospital (BCH) for more than two decades. During that time, I consistently earned favorable performance reviews and promotions. Prior to the events at issue in this Charge, I was never disciplined or otherwise subjected to any adverse action based upon alleged poor performance.</w:t>
      </w:r>
    </w:p>
    <w:p>
      <w:pPr>
        <w:spacing w:after="240"/>
      </w:pPr>
      <w:r>
        <w:rPr>
          <w:b/>
          <w:u w:val="single"/>
        </w:rPr>
        <w:t>Response No. 5:</w:t>
      </w:r>
      <w:r>
        <w:t xml:space="preserve"> The Respondent denies the allegation. The Respondent does not concede the characterization that the Charging Party was an employee in good standing at Boston Childrens Hospital (BCH) for more than two decades, that the Charging Party consistently earned favorable performance reviews and promotions, or that the Charging Party was never disciplined or otherwise subjected to any adverse action based upon alleged poor performance. The Respondent further denies that these assertions, to the extent made, establish any violation of law. The Charging Party bears the burden of proof, and the record must support each asserted fact with competent evidence. Standard legal principles apply.</w:t>
      </w:r>
    </w:p>
    <w:p>
      <w:r>
        <w:rPr>
          <w:b/>
          <w:u w:val="single"/>
        </w:rPr>
        <w:t>Allegation No. 6:</w:t>
      </w:r>
      <w:r>
        <w:t xml:space="preserve"> During this meeting there was no discussion regarding my job performance or other concerns related to my role.</w:t>
      </w:r>
    </w:p>
    <w:p>
      <w:pPr>
        <w:spacing w:after="240"/>
      </w:pPr>
      <w:r>
        <w:rPr>
          <w:b/>
          <w:u w:val="single"/>
        </w:rPr>
        <w:t>Response No. 6:</w:t>
      </w:r>
      <w:r>
        <w:t xml:space="preserve"> The Respondent denies that during this meeting there was no discussion regarding the Complainant's job performance or other concerns related to the Complainant's role to the extent this allegation implies unlawful treatment or entitlement to continued favorable treatment. Past performance history does not establish discrimination, retaliation, or interference, and any employment action must be evaluated under the legitimate, non-discriminatory reasons actually relied upon by the Respondent. Standard legal principles apply.</w:t>
      </w:r>
    </w:p>
    <w:p>
      <w:r>
        <w:rPr>
          <w:b/>
          <w:u w:val="single"/>
        </w:rPr>
        <w:t>Allegation No. 7:</w:t>
      </w:r>
      <w:r>
        <w:t xml:space="preserve"> Despite these acknowledgements, the exclusionary practices continued, following the appropriate chain of command, I reached out to her supervisor, our operations director, former Executive Administrative Director (EAD), Julie Campbell on 4.2.2024 to discuss these concerns and seek guidance to navigate the situation.</w:t>
      </w:r>
    </w:p>
    <w:p>
      <w:pPr>
        <w:spacing w:after="240"/>
      </w:pPr>
      <w:r>
        <w:rPr>
          <w:b/>
          <w:u w:val="single"/>
        </w:rPr>
        <w:t>Response No. 7:</w:t>
      </w:r>
      <w:r>
        <w:t xml:space="preserve"> The Respondent denies that this assertion establishes any discriminatory conduct under Title VII or M.G.L. c. 151B. The statement that, "Despite these acknowledgements, the exclusionary practices continued, following the appropriate chain of command, I reached out to her supervisor, our operations director, former Executive Administrative Director (EAD), Julie Campbell on 4.2.2024 to discuss these concerns and seek guidance to navigate the situation," does not, standing alone, identify any unlawful discrimination, adverse employment action, or actionable conduct attributable to the Respondent. The absence of any specific supporting facts, corroborating evidence, or causal connection to a protected characteristic is insufficient to sustain this allegation. The Respondent further denies any improper exclusionary practice and states that the use of appropriate managerial channels, including communication with Julie Campbell on 4.2.2024, does not establish discriminatory conduct under applicable law.</w:t>
      </w:r>
    </w:p>
    <w:p>
      <w:r>
        <w:rPr>
          <w:b/>
          <w:u w:val="single"/>
        </w:rPr>
        <w:t>Allegation No. 8:</w:t>
      </w:r>
      <w:r>
        <w:t xml:space="preserve"> After explaining to Julie Campbell and providing examples of exclusion, Julie Campbell, did not express any concerns about my job performance nor did she indicate that there were any concerns being brought to her regarding my performance.</w:t>
      </w:r>
    </w:p>
    <w:p>
      <w:pPr>
        <w:spacing w:after="240"/>
      </w:pPr>
      <w:r>
        <w:rPr>
          <w:b/>
          <w:u w:val="single"/>
        </w:rPr>
        <w:t>Response No. 8:</w:t>
      </w:r>
      <w:r>
        <w:t xml:space="preserve"> The Respondent denies the allegation. The fact that Julie Campbell did not, during that discussion, express concerns about the Complainant’s job performance or indicate that any concerns were then being brought to her regarding the Complainant’s performance does not establish, and is not evidence of, unlawful treatment. A manager’s contemporaneous response does not waive the Respondent’s authority to later address and issue corrective action based on documented workplace issues.</w:t>
      </w:r>
    </w:p>
    <w:p>
      <w:r>
        <w:rPr>
          <w:b/>
          <w:u w:val="single"/>
        </w:rPr>
        <w:t>Allegation No. 9:</w:t>
      </w:r>
      <w:r>
        <w:t xml:space="preserve"> On April 9, 2024, I was called into the office for a meeting with Genevieve Benoit and Julie Campbell during which I received a written counseling that listed the following dates as providing me with verbal counseling: on 12/22/23 3/21/24 and 4/1/24.</w:t>
      </w:r>
    </w:p>
    <w:p>
      <w:pPr>
        <w:spacing w:after="240"/>
      </w:pPr>
      <w:r>
        <w:rPr>
          <w:b/>
          <w:u w:val="single"/>
        </w:rPr>
        <w:t>Response No. 9:</w:t>
      </w:r>
      <w:r>
        <w:t xml:space="preserve"> The Respondent denies that the written counseling was unlawful. On April 9, 2024, the Complainant was called into the office for a meeting with Genevieve Benoit and Julie Campbell during which she received a written counseling that listed the following dates as providing her with verbal counseling: on 12/22/23 3/21/24 and 4/1/24. Employers may issue discipline based on documented performance or conduct concerns consistent with workplace policy. The mere fact of counseling does not establish discrimination or retaliation under Title VII or M.G.L. c. 151B, and there is no evidence that the April 9, 2024 written counseling was issued for any unlawful reason.</w:t>
      </w:r>
    </w:p>
    <w:p>
      <w:r>
        <w:rPr>
          <w:b/>
          <w:u w:val="single"/>
        </w:rPr>
        <w:t>Allegation No. 10:</w:t>
      </w:r>
      <w:r>
        <w:t xml:space="preserve"> I had an approved previously scheduled Bereavement leave day off on 12.22.23 which is documented in the UKG timecard system.</w:t>
      </w:r>
    </w:p>
    <w:p>
      <w:pPr>
        <w:spacing w:after="240"/>
      </w:pPr>
      <w:r>
        <w:rPr>
          <w:b/>
          <w:u w:val="single"/>
        </w:rPr>
        <w:t>Response No. 10:</w:t>
      </w:r>
      <w:r>
        <w:t xml:space="preserve"> The Respondent denies that it relied improperly on protected leave or otherwise took any adverse action based on the Charging Party’s previously scheduled Bereavement leave day off on 12.22.23. The Respondent further denies any violation of the applicable employment laws. To the extent the Charging Party asserts that 12.22.23 was an approved previously scheduled Bereavement leave day off documented in the UKG timecard system, that assertion, standing alone, does not establish unlawful conduct. Attendance records and scheduling documentation are legitimate business records, and there is no evidence that the Respondent acted for a prohibited reason.</w:t>
      </w:r>
    </w:p>
    <w:p>
      <w:r>
        <w:rPr>
          <w:b/>
          <w:u w:val="single"/>
        </w:rPr>
        <w:t>Allegation No. 11:</w:t>
      </w:r>
      <w:r>
        <w:t xml:space="preserve"> To date there has been no documentation received, meetings or discussions that indicate the specifics of verbal counseling that are noted in this written corrective action for these dates as outlined in the Boston Children's Hospital HR policy.</w:t>
      </w:r>
    </w:p>
    <w:p>
      <w:pPr>
        <w:spacing w:after="240"/>
      </w:pPr>
      <w:r>
        <w:rPr>
          <w:b/>
          <w:u w:val="single"/>
        </w:rPr>
        <w:t>Response No. 11:</w:t>
      </w:r>
      <w:r>
        <w:t xml:space="preserve"> The Respondent denies the allegation. To date there has been no documentation received, meetings or discussions that indicate the specifics of verbal counseling that are noted in this written corrective action for these dates as outlined in the Boston Children's Hospital HR policy. The Respondent denies any procedural impropriety and maintains that internal documentation and counseling practices are governed by employer policy, not by a right to avoid discipline. Any dispute regarding documentation does not itself establish discrimination or retaliation under Title VII or M.G.L. c. 151B. The Respondent further states that the record contains no competent evidence showing that the absence of additional documentation, meetings, or discussions concerning the alleged verbal counseling demonstrates unlawful conduct or any deviation from applicable law.</w:t>
      </w:r>
    </w:p>
    <w:p>
      <w:r>
        <w:rPr>
          <w:b/>
          <w:u w:val="single"/>
        </w:rPr>
        <w:t>Allegation No. 12:</w:t>
      </w:r>
      <w:r>
        <w:t xml:space="preserve"> After receiving this written warning, I reached out to the Scott Shannon, Lead Employee Relations Advisor, and our department's HR advisor, with whom I have worked closely over the past 2 years to discuss my concerns and the next steps, since in the 23 years an employee, I had never received this type of warning.</w:t>
      </w:r>
    </w:p>
    <w:p>
      <w:pPr>
        <w:spacing w:after="240"/>
      </w:pPr>
      <w:r>
        <w:rPr>
          <w:b/>
          <w:u w:val="single"/>
        </w:rPr>
        <w:t>Response No. 12:</w:t>
      </w:r>
      <w:r>
        <w:t xml:space="preserve"> The Respondent denies that, after receiving this written warning, the charging party’s outreach to Scott Shannon, Lead Employee Relations Advisor, and the department’s HR advisor, with whom she had worked closely over the past 2 years to discuss her concerns and the next steps, or her statement that in the 23 years as an employee she had never received this type of warning, gives rise to any inference of discrimination or retaliation. The Respondent denies that the charging party’s prior work history immunizes her from corrective action. Employee Relations consultation is a standard internal process and does not evidence discriminatory animus or unlawful retaliation. To the extent the charging party contends otherwise, the Respondent denies those contentions and notes the absence of evidence showing any unlawful motive or causal connection between the written warning and the charging party’s contact with Scott Shannon or the department’s HR advisor. Documentation of prior discussions or counseling and supervisor emails or notes addressing job performance concerns support that the written warning was based on legitimate workplace concerns, not unlawful conduct.</w:t>
      </w:r>
    </w:p>
    <w:p>
      <w:r>
        <w:rPr>
          <w:b/>
          <w:u w:val="single"/>
        </w:rPr>
        <w:t>Allegation No. 13:</w:t>
      </w:r>
      <w:r>
        <w:t xml:space="preserve"> At that time, Scott Shannon advised me the following options 1. to meet with Genevieve Benoit and Julie Campbell and or 2. to send a rebuttal.</w:t>
      </w:r>
    </w:p>
    <w:p>
      <w:pPr>
        <w:spacing w:after="240"/>
      </w:pPr>
      <w:r>
        <w:rPr>
          <w:b/>
          <w:u w:val="single"/>
        </w:rPr>
        <w:t>Response No. 13:</w:t>
      </w:r>
      <w:r>
        <w:t xml:space="preserve"> The Respondent denies the allegation. At that time, Scott Shannon advised me the following options: 1. to meet with Genevieve Benoit and Julie Campbell and or 2. to send a rebuttal. The Respondent further notes that the record reflects the rebuttal submission dated 4/12/2024 and the HR receipt or tracking of rebuttal materials. There is no evidence that providing these ordinary employee-response options was adverse, improper, or unlawful. Offering an opportunity to meet with Genevieve Benoit and Julie Campbell and/or to submit a rebuttal is consistent with fair workplace process and does not demonstrate any wrongdoing.</w:t>
      </w:r>
    </w:p>
    <w:p>
      <w:r>
        <w:rPr>
          <w:b/>
          <w:u w:val="single"/>
        </w:rPr>
        <w:t>Allegation No. 14:</w:t>
      </w:r>
      <w:r>
        <w:t xml:space="preserve"> I indicated to Scott Shannon that I did not feel safe or comfortable to meet with Genevieve Benoit and wanted to avoid direct conversations.</w:t>
      </w:r>
    </w:p>
    <w:p>
      <w:pPr>
        <w:spacing w:after="240"/>
      </w:pPr>
      <w:r>
        <w:rPr>
          <w:b/>
          <w:u w:val="single"/>
        </w:rPr>
        <w:t>Response No. 14:</w:t>
      </w:r>
      <w:r>
        <w:t xml:space="preserve"> The Respondent denies that the charging party indicated to Scott Shannon that she did not feel safe or comfortable to meet with Genevieve Benoit and wanted to avoid direct conversations, and further denies that the charging party’s subjective discomfort establishes a hostile work environment. The available email records show follow-up correspondence and response timing, and the HR workflow records indicate case handling status. No competent evidence has been provided to establish that the Respondent acted unlawfully or that any protected right was violated by the communications at issue. Standard legal principles apply.</w:t>
      </w:r>
    </w:p>
    <w:p>
      <w:r>
        <w:rPr>
          <w:b/>
          <w:u w:val="single"/>
        </w:rPr>
        <w:t>Allegation No. 15:</w:t>
      </w:r>
      <w:r>
        <w:t xml:space="preserve"> He in turn stated 'I (Scott) Shannon was surprised to see us on this desk &amp; I would not worry about this too much Andrea'.</w:t>
      </w:r>
    </w:p>
    <w:p>
      <w:pPr>
        <w:spacing w:after="240"/>
      </w:pPr>
      <w:r>
        <w:rPr>
          <w:b/>
          <w:u w:val="single"/>
        </w:rPr>
        <w:t>Response No. 15:</w:t>
      </w:r>
      <w:r>
        <w:t xml:space="preserve"> The Respondent denies that this quoted statement constitutes evidence of discrimination or retaliation. The statement, as quoted, reflects only that Scott Shannon was surprised to see us on this desk and that he would not worry about this too much Andrea. A supportive comment regarding an internal review is not an admission of wrongdoing and does not establish liability under Title VII or M.G.L. c. 151B. Standard legal principles apply.</w:t>
      </w:r>
    </w:p>
    <w:p>
      <w:r>
        <w:rPr>
          <w:b/>
          <w:u w:val="single"/>
        </w:rPr>
        <w:t>Allegation No. 16:</w:t>
      </w:r>
      <w:r>
        <w:t xml:space="preserve"> I stated in response 'Scott, how do you think I feel- I felt blindsided.</w:t>
      </w:r>
    </w:p>
    <w:p>
      <w:pPr>
        <w:spacing w:after="240"/>
      </w:pPr>
      <w:r>
        <w:rPr>
          <w:b/>
          <w:u w:val="single"/>
        </w:rPr>
        <w:t>Response No. 16:</w:t>
      </w:r>
      <w:r>
        <w:t xml:space="preserve"> The Respondent denies that the charging party’s statement, “Scott, how do you think I feel- I felt blindsided,” demonstrates unlawful treatment. The Respondent denies that the charging party’s feeling of being blindsided, standing alone, establishes discriminatory animus, retaliatory motive, or any other unlawful conduct. Employee dissatisfaction with discipline or workplace decisions does not, by itself, evidence discrimination or retaliation, and no supporting evidence has been provided to show that the Respondent acted unlawfully.</w:t>
      </w:r>
    </w:p>
    <w:p>
      <w:r>
        <w:rPr>
          <w:b/>
          <w:u w:val="single"/>
        </w:rPr>
        <w:t>Allegation No. 17:</w:t>
      </w:r>
      <w:r>
        <w:t xml:space="preserve"> I repeated to Scott Shannon that I had not had any conversations and or received any documentation of concerns regarding my job performance within the department of Urology on the dates stated or prior to receiving this written warning.</w:t>
      </w:r>
    </w:p>
    <w:p>
      <w:pPr>
        <w:spacing w:after="240"/>
      </w:pPr>
      <w:r>
        <w:rPr>
          <w:b/>
          <w:u w:val="single"/>
        </w:rPr>
        <w:t>Response No. 17:</w:t>
      </w:r>
      <w:r>
        <w:t xml:space="preserve"> The Respondent denies this assertion and states that the record reflects that concerns regarding the Complainant’s job performance within the Department of Urology had been communicated and documented prior to the issuance of the written warning. The Respondent further states that any claimed lack of recollection or dispute over receiving documentation does not establish that no such conversations or documents existed, nor does it negate the underlying performance concerns reflected in the workplace records supporting the counseling. The Respondent denies that the issuance of the written warning was discriminatory, retaliatory, or otherwise in violation of applicable employment law, and relies on the contemporaneous performance documentation and related workplace records.</w:t>
      </w:r>
    </w:p>
    <w:p>
      <w:r>
        <w:rPr>
          <w:b/>
          <w:u w:val="single"/>
        </w:rPr>
        <w:t>Allegation No. 18:</w:t>
      </w:r>
      <w:r>
        <w:t xml:space="preserve"> I sent the rebuttal on 4.12.2024 as advised by Scott Shannon.</w:t>
      </w:r>
    </w:p>
    <w:p>
      <w:pPr>
        <w:spacing w:after="240"/>
      </w:pPr>
      <w:r>
        <w:rPr>
          <w:b/>
          <w:u w:val="single"/>
        </w:rPr>
        <w:t>Response No. 18:</w:t>
      </w:r>
      <w:r>
        <w:t xml:space="preserve"> The Respondent denies Allegation No. 18 and states that the statement, "I sent the rebuttal on 4.12.2024 as advised by Scott Shannon," does not establish any unlawful discrimination, adverse action, or procedural impropriety. The Respondent acknowledges the use of the rebuttal process as an internal mechanism for review. The existence of a rebuttal opportunity underscores the fairness of the process and does not support a claim of unlawful discrimination. The Respondent further states that no facts are alleged, and no evidence is identified, showing that the submission of a rebuttal on 4.12.2024 as advised by Scott Shannon was ignored, treated adversely, or used as a basis for any discriminatory decision. Standard legal principles apply.</w:t>
      </w:r>
    </w:p>
    <w:p>
      <w:r>
        <w:rPr>
          <w:b/>
          <w:u w:val="single"/>
        </w:rPr>
        <w:t>Allegation No. 19:</w:t>
      </w:r>
      <w:r>
        <w:t xml:space="preserve"> I sent follow up emails to inquire about the status following the rebuttal and next steps to Scott Shannon 4.22.24 and 5.1.2024 without response.</w:t>
      </w:r>
    </w:p>
    <w:p>
      <w:pPr>
        <w:spacing w:after="240"/>
      </w:pPr>
      <w:r>
        <w:rPr>
          <w:b/>
          <w:u w:val="single"/>
        </w:rPr>
        <w:t>Response No. 19:</w:t>
      </w:r>
      <w:r>
        <w:t xml:space="preserve"> The Respondent denies that a delayed response to follow-up emails to inquire about the status following the rebuttal and next steps to Scott Shannon on 4.22.24 and 5.1.2024, without response, constitutes discriminatory or retaliatory conduct. The Respondent further denies that the alleged lack of response, standing alone, is evidence of any adverse action, unlawful motive, or violation of Title VII or M.G.L. c. 151B. Administrative delay, without more, does not establish a violation of Title VII or M.G.L. c. 151B, and no facts are alleged showing that the absence of a response was connected to any protected activity or protected characteristic.</w:t>
      </w:r>
    </w:p>
    <w:p>
      <w:r>
        <w:rPr>
          <w:b/>
          <w:u w:val="single"/>
        </w:rPr>
        <w:t>Allegation No. 20:</w:t>
      </w:r>
      <w:r>
        <w:t xml:space="preserve"> I thereafter, self-scheduled a meeting on 5.5.2024 which he accepted.</w:t>
      </w:r>
    </w:p>
    <w:p>
      <w:pPr>
        <w:spacing w:after="240"/>
      </w:pPr>
      <w:r>
        <w:rPr>
          <w:b/>
          <w:u w:val="single"/>
        </w:rPr>
        <w:t>Response No. 20:</w:t>
      </w:r>
      <w:r>
        <w:t xml:space="preserve"> The Respondent denies any adverse inference from the acceptance of a meeting request. The fact that management accepted a meeting request is consistent with open communication and undermines any claim of unlawful obstruction.</w:t>
      </w:r>
    </w:p>
    <w:p>
      <w:r>
        <w:rPr>
          <w:b/>
          <w:u w:val="single"/>
        </w:rPr>
        <w:t>Allegation No. 21:</w:t>
      </w:r>
      <w:r>
        <w:t xml:space="preserve"> During this meeting Scott Shannon indicated that he thought I (Andrea) was planning to meet with Genevieve Benoit and Julie Campbell.</w:t>
      </w:r>
    </w:p>
    <w:p>
      <w:pPr>
        <w:spacing w:after="240"/>
      </w:pPr>
      <w:r>
        <w:rPr>
          <w:b/>
          <w:u w:val="single"/>
        </w:rPr>
        <w:t>Response No. 21:</w:t>
      </w:r>
      <w:r>
        <w:t xml:space="preserve"> The Respondent denies that during this meeting Scott Shannon indicated that he thought I (Andrea) was planning to meet with Genevieve Benoit and Julie Campbell reflected discrimination or retaliation. At most, the alleged statement concerns internal scheduling expectations and does not support a legally cognizable claim under Title VII or M.G.L. c. 151B.</w:t>
      </w:r>
    </w:p>
    <w:p>
      <w:r>
        <w:rPr>
          <w:b/>
          <w:u w:val="single"/>
        </w:rPr>
        <w:t>Allegation No. 22:</w:t>
      </w:r>
      <w:r>
        <w:t xml:space="preserve"> Failure to execute your responsibilities as Ambulatory Clinical Supervisor II has led to unsatisfactory job performance. Examples include failure to schedule patient appointments, insufficient throughput when assuming ownership of tasks, and breaches of professionalism.</w:t>
      </w:r>
    </w:p>
    <w:p>
      <w:pPr>
        <w:spacing w:after="240"/>
      </w:pPr>
      <w:r>
        <w:rPr>
          <w:b/>
          <w:u w:val="single"/>
        </w:rPr>
        <w:t>Response No. 22:</w:t>
      </w:r>
      <w:r>
        <w:t xml:space="preserve"> The Respondent denies that this allegation reflects unlawful treatment under Title VII or M.G.L. c. 151B. The Respondent further denies that the allegation, as stated, establishes any discriminatory conduct, because the notice identifies legitimate performance-based concerns regarding the execution of responsibilities as Ambulatory Clinical Supervisor II, including failure to schedule patient appointments, insufficient throughput when assuming ownership of tasks, and breaches of professionalism. These are non-discriminatory grounds for corrective action and do not, without more, support a claim of unlawful treatment. The Respondent denies that the allegation is supported by evidence of discriminatory motive, disparate treatment, or any facts showing that the cited performance concerns were a pretext for unlawful discrimination.</w:t>
      </w:r>
    </w:p>
    <w:p>
      <w:r>
        <w:rPr>
          <w:b/>
          <w:u w:val="single"/>
        </w:rPr>
        <w:t>Allegation No. 23:</w:t>
      </w:r>
      <w:r>
        <w:t xml:space="preserve"> On 05/17/24 you communicated to me that you were helping the workqueue where needed and had outreached/scheduled off Dr Ted and Dr Nelson's workqueues to help bring the count down. Data shows that you had scheduled 2 patients from 1/1/24-5/17/24. On 09/13/2024 you were taught how to transcribe workqueue information from EPIC Legacy to EPIC Mosaic. You were also provided training materials to help support task completion. It was expressed that Philip, Julie and I were available should any questions surrounding the process arise on 9/25/24 you were asked to perform workqueue transcription on 09/25/24 and 09/27/24. On 09/30/24 you were asked to transcribe orders and schedule patients between the dates of 10/1/24 and 10/4/24 data demonstrates you had scheduled 0 patients between that timeframe. On 10/24/24 you declined to help schedule patients from Dr Kurtz's follow up workqueue due to lack of downtime. On 10/25/24 you further detailed, 'Regarding having no down time I am assisting Mark in scheduling his work queues.' Data shows that you have scheduled 1 patient between 10/25/24 and 11/1/24</w:t>
      </w:r>
    </w:p>
    <w:p>
      <w:pPr>
        <w:spacing w:after="240"/>
      </w:pPr>
      <w:r>
        <w:rPr>
          <w:b/>
          <w:u w:val="single"/>
        </w:rPr>
        <w:t>Response No. 23:</w:t>
      </w:r>
      <w:r>
        <w:t xml:space="preserve"> The Respondent denies the allegation to the extent it implies any improper motive, discriminatory intent, or retaliatory conduct. The Respondent relies on the personnel file, policy documentation, documented training, and objective scheduling metrics demonstrating performance deficiencies and the need for coaching and support. The record reflects that on 05/17/24 it was communicated that the Respondent was helping the workqueue where needed and had outreached/scheduled off Dr Ted and Dr Nelson's workqueues to help bring the count down, yet data shows that the Respondent had scheduled only 2 patients from 1/1/24-5/17/24. On 09/13/2024 the Respondent was taught how to transcribe workqueue information from EPIC Legacy to EPIC Mosaic and was also provided training materials to help support task completion, and it was expressed that Philip, Julie and I were available should any questions surrounding the process arise. On 9/25/24 the Respondent was asked to perform workqueue transcription on 09/25/24 and 09/27/24. On 09/30/24 the Respondent was asked to transcribe orders and schedule patients between the dates of 10/1/24 and 10/4/24, yet data demonstrates the Respondent had scheduled 0 patients between that timeframe. On 10/24/24 the Respondent declined to help schedule patients from Dr Kurtz's follow up workqueue due to lack of downtime. On 10/25/24 the Respondent further detailed, 'Regarding having no down time I am assisting Mark in scheduling his work queues.' Data shows that the Respondent has scheduled 1 patient between 10/25/24 and 11/1/24. These facts establish a legitimate, non-discriminatory basis for counseling and do not support any inference of discrimination or retaliation.</w:t>
      </w:r>
    </w:p>
    <w:p>
      <w:r>
        <w:rPr>
          <w:b/>
          <w:u w:val="single"/>
        </w:rPr>
        <w:t>Allegation No. 24:</w:t>
      </w:r>
      <w:r>
        <w:t xml:space="preserve"> On 10/01/2024 I emailed you inquiring who could help reschedule patients slated to see our APCs on 10/7, 10/16, 10/18, 10/21, and 10/30 as requested by Megan Sosensky You responded to my email, noting that you were working on the request. On 10/9 Megan Sosensky emailed me again as the task was not complete. I emailed you in follow up to this, requesting an update. You were out of office at the time of the email (10/9), so I asked another PER to help reschedule the patients. You responded to my email providing that you had all 21/24 patient to call all three providers on 10/24/24. In preparation for their scheduled treatment on 10/25/24 you asked for two day off your scheduled time on 10/25/24. I also noted that you would keep myself and another colleague posted on the outcome. On 10/25/24 I emailed you asking if any of the Testopel patients needed to be rescheduled. You responded that you were busy and did not rememb</w:t>
      </w:r>
    </w:p>
    <w:p>
      <w:pPr>
        <w:spacing w:after="240"/>
      </w:pPr>
      <w:r>
        <w:rPr>
          <w:b/>
          <w:u w:val="single"/>
        </w:rPr>
        <w:t>Response No. 24:</w:t>
      </w:r>
      <w:r>
        <w:t xml:space="preserve"> The Respondent denies the allegations in their entirety. The Respondent admits only that on 10/01/2024 they received an email inquiring who could help reschedule patients slated to see our APCs on 10/7, 10/16, 10/18, 10/21, and 10/30 as requested by Megan Sosensky, and that they responded that they were working on the request. The Respondent further admits only that on 10/9 Megan Sosensky emailed again because the task had not been completed, and that a follow-up email was sent while the Respondent was out of office, after which another PER was asked to help reschedule the patients. However, the Respondent denies any suggestion of misconduct, neglect, or intentional delay, and states that there is no evidence that they failed to act reasonably or in good faith in connection with the rescheduling effort. The Respondent further denies the implication that they refused assistance, disregarded the matter, or otherwise caused any adverse impact. To the extent the allegation contends that the Respondent stated they had all 21/24 patient to call all three providers on 10/24/24, in preparation for their scheduled treatment on 10/25/24, or that they asked for two day off your scheduled time on 10/25/24, the Respondent denies that these statements establish any wrongdoing. The Respondent also denies that any communication concerning whether the Testopel patients needed to be rescheduled on 10/25/24 supports the allegation as phrased, and denies any assertion that they were not responsive or failed to keep myself and another colleague posted on the outcome. Any contrary implication is unsupported by evidence and is denied.</w:t>
      </w:r>
    </w:p>
    <w:p>
      <w:r>
        <w:rPr>
          <w:b/>
          <w:u w:val="single"/>
        </w:rPr>
        <w:t>Allegation No. 25:</w:t>
      </w:r>
      <w:r>
        <w:t xml:space="preserve"> On 10/15/24, two employees informed me of interactions they had with you where you expressed that you were not kept in the loop of certain information. As outlined in our meeting minutes from 9/30/24, it is important to showcase alignment on messaging to staff including staffing/support strategy, current state initiatives and long-term goals. It was also reviewed during that discussion that it is imperative to demonstrate a collegial and trusting partnership and illustrate a positive and optimistic demeanor in all settings,</w:t>
      </w:r>
    </w:p>
    <w:p>
      <w:pPr>
        <w:spacing w:after="240"/>
      </w:pPr>
      <w:r>
        <w:rPr>
          <w:b/>
          <w:u w:val="single"/>
        </w:rPr>
        <w:t>Response No. 25:</w:t>
      </w:r>
      <w:r>
        <w:t xml:space="preserve"> The Respondent denies the allegation as stated. The Respondent further states that any discussion regarding being “not kept in the loop” concerned workplace communication, alignment, and operational expectations, not any protected status or protected activity. The Respondent notes that the record cited by the Employer reflects an expectation that messaging to staff remain aligned with staffing/support strategy, current state initiatives, and long-term goals, and that collegiality, trust, and a positive and optimistic demeanor be maintained in all settings. The Respondent denies any misconduct and denies that the Employer has identified any specific conduct, date, or statement by the Respondent that would support the allegation. The Employer has provided no evidence establishing any improper behavior by the Respondent beyond generalized assertions about workplace communication expectations.</w:t>
      </w:r>
    </w:p>
    <w:p>
      <w:r>
        <w:rPr>
          <w:b/>
          <w:u w:val="single"/>
        </w:rPr>
        <w:t>Allegation No. 26:</w:t>
      </w:r>
      <w:r>
        <w:t xml:space="preserve"> On 9/25/24 an employee who was scheduled to cover the front desk from 4:15p-5:00p had called out in the morning. You had subsequently requested, with minimal notice, to leave early on 9/25/24 and expressed that administrative personnel would be covering the front desk until 4:40p I inquired who was scheduled to cover the front desk until 5:00p as our last patient was scheduled at 4:45pm, without response As such, I covered the front desk until the last patient visit was completed as there was no one scheduled to cover the front desk. On 11/5/24 I was alerted by a coll</w:t>
      </w:r>
    </w:p>
    <w:p>
      <w:pPr>
        <w:spacing w:after="240"/>
      </w:pPr>
      <w:r>
        <w:rPr>
          <w:b/>
          <w:u w:val="single"/>
        </w:rPr>
        <w:t>Response No. 26:</w:t>
      </w:r>
      <w:r>
        <w:t xml:space="preserve"> The Respondent denies the allegation. To the extent the allegation concerns 9/25/24, the Respondent requested to leave early with minimal notice and stated that administrative personnel would be covering the front desk until 4:40p; however, the assertion that there was no one scheduled to cover the front desk until 5:00p is unsupported by any documentary evidence or scheduling record provided with the allegation. The Respondent further denies any refusal to respond to the inquiry regarding front desk coverage, and denies that any act or omission on 9/25/24 caused the Complainant to remain at the front desk until the last patient visit was completed. The remainder of the allegation beginning, "On 11/5/24 I was alerted by a coll," is incomplete and, as presented, is vague, conclusory, and unsupported by sufficient factual detail or evidence to establish any misconduct by the Respondent.</w:t>
      </w:r>
    </w:p>
    <w:p>
      <w:r>
        <w:rPr>
          <w:b/>
          <w:u w:val="single"/>
        </w:rPr>
        <w:t>Allegation No. 27:</w:t>
      </w:r>
      <w:r>
        <w:t xml:space="preserve"> there was a line of patients waiting at the front desk and that they were unable to find you I immediately got up from my desk and proceeded to the front desk, the lobby was chaotic and there was a line of patients waiting to be helped As such, I sat down and began checking patients in. Shortly after, I proceeded to ask you if you had been in clinic given you were not able to be found. You noted that you were in the back It is imperative that you are available and present to help support front desk operations.,Personnel file  Policy documentation,</w:t>
      </w:r>
    </w:p>
    <w:p>
      <w:pPr>
        <w:spacing w:after="240"/>
      </w:pPr>
      <w:r>
        <w:rPr>
          <w:b/>
          <w:u w:val="single"/>
        </w:rPr>
        <w:t>Response No. 27:</w:t>
      </w:r>
      <w:r>
        <w:t xml:space="preserve"> The Respondent denies the allegation that she was unavailable or absent from clinic in a manner that impeded front desk operations. The Respondent immediately got up from her desk and proceeded to the front desk upon becoming aware that there was a line of patients waiting to be helped. The lobby was chaotic and there was a line of patients waiting to be helped. As such, the Respondent sat down and began checking patients in. Shortly after, the Respondent was asked if she had been in clinic given she was not able to be found, and she noted that she was in the back. The record cited references only the Personnel file and Policy documentation, and does not establish any misconduct by the Respondent. To the extent the issue concerns front desk coverage, the Respondent’s actions reflect an effort to support patient flow and maintain continuity of operations, not dereliction of duty. It is imperative that staff are available and present to help support front desk operations; however, the cited materials do not show that the Respondent failed to do so on this occasion.</w:t>
      </w:r>
    </w:p>
    <w:p>
      <w:r>
        <w:rPr>
          <w:b/>
          <w:u w:val="single"/>
        </w:rPr>
        <w:t>Allegation No. 28:</w:t>
      </w:r>
      <w:r>
        <w:t xml:space="preserve"> Failure to meet the standards of performing your role as Ambulatory Clinic Supervisor II relating to performance expectations and professionalism is in direct violation of the BCH discipline policy which states that, Members of the Boston Childrens Hospital Community are committed to honesty, integrity and diligence in performing all daily activities and functions. The failure to meet consistent productivity expectations does not meet our BCH Core Performance Standards reflecting:,Personnel file  Policy documentation,</w:t>
      </w:r>
    </w:p>
    <w:p>
      <w:pPr>
        <w:spacing w:after="240"/>
      </w:pPr>
      <w:r>
        <w:rPr>
          <w:b/>
          <w:u w:val="single"/>
        </w:rPr>
        <w:t>Response No. 28:</w:t>
      </w:r>
      <w:r>
        <w:t xml:space="preserve"> The Respondent denies any violation of policy and denies that the cited concerns establish a failure to meet the standards of performing the role as Ambulatory Clinic Supervisor II relating to performance expectations and professionalism. The Respondent further denies that the allegation is supported by competent evidence. The reference to the BCH discipline policy and the statement that Members of the Boston Childrens Hospital Community are committed to honesty, integrity and diligence in performing all daily activities and functions does not, by itself, prove a policy violation. The Respondent contends that the cited concerns reflect legitimate operational expectations for an Ambulatory Clinic Supervisor II, and that performance-based counseling is lawful where grounded in actual workplace needs and applied consistently. The allegation’s reference to consistent productivity expectations and BCH Core Performance Standards is unsupported by specific facts, dates, or documents establishing that the Respondent failed to meet the applicable standards. Further, the mention of Personnel file Policy documentation, without more, does not provide evidence of misconduct or a direct violation of policy. Under Title VII and M.G.L. c. 151B, standard legal principles apply, and the Respondent denies that the allegation demonstrates unlawful, improper, or professionally deficient conduct.</w:t>
      </w:r>
    </w:p>
    <w:p>
      <w:r>
        <w:rPr>
          <w:b/>
          <w:u w:val="single"/>
        </w:rPr>
        <w:t>Allegation No. 29:</w:t>
      </w:r>
      <w:r>
        <w:t xml:space="preserve"> In the past:</w:t>
        <w:br/>
        <w:t>Failure to execute job responsibilities previously warranted a Written Counseling on April 9th, 2024 for Performance Expectations and Patient Risk/Patient Safety  The expectations reviewed at the time of counseling included.</w:t>
        <w:br/>
        <w:t xml:space="preserve"> Open, clear, respectful and professional communication to all colleagues</w:t>
        <w:br/>
        <w:t xml:space="preserve"> Weekly meetings and progress updates to manager</w:t>
        <w:br/>
        <w:t xml:space="preserve"> Attendance at all team meetings when presence is encouraged/required</w:t>
        <w:br/>
        <w:t xml:space="preserve"> Effective resource allocation to ensure appropriate workqueue management</w:t>
        <w:br/>
        <w:t xml:space="preserve"> Cover front desk when needed</w:t>
        <w:br/>
        <w:t xml:space="preserve"> Ability to cover PER colleagues during planned/unplanned absences</w:t>
        <w:br/>
        <w:t xml:space="preserve"> Taking initiative to field calls when patient queues/wait times are high</w:t>
        <w:br/>
        <w:t xml:space="preserve"> Satisfactory completion of performance improvement plan</w:t>
        <w:br/>
        <w:t xml:space="preserve"> Maintaining supervision/oversight of subordinates</w:t>
      </w:r>
    </w:p>
    <w:p>
      <w:pPr>
        <w:spacing w:after="240"/>
      </w:pPr>
      <w:r>
        <w:rPr>
          <w:b/>
          <w:u w:val="single"/>
        </w:rPr>
        <w:t>Response No. 29:</w:t>
      </w:r>
      <w:r>
        <w:t xml:space="preserve"> The Respondent relies on prior documented counseling to establish a legitimate progressive discipline record. The Respondent denies any characterization that the April 9th, 2024 Written Counseling for Performance Expectations and Patient Risk/Patient Safety was unwarranted or unsupported. The expectations reviewed at the time of counseling included open, clear, respectful and professional communication to all colleagues; weekly meetings and progress updates to manager; attendance at all team meetings when presence is encouraged/required; effective resource allocation to ensure appropriate workqueue management; covering the front desk when needed; ability to cover PER colleagues during planned/unplanned absences; taking initiative to field calls when patient queues/wait times are high; satisfactory completion of performance improvement plan; and maintaining supervision/oversight of subordinates. These expectations are job-related, neutral, and directly tied to patient care operations, supervision, and workflow management. The Respondent denies that the cited counseling lacked basis, and the record reflects legitimate performance expectations rather than any improper action.</w:t>
      </w:r>
    </w:p>
    <w:p>
      <w:r>
        <w:rPr>
          <w:b/>
          <w:u w:val="single"/>
        </w:rPr>
        <w:t>Allegation No. 30:</w:t>
      </w:r>
      <w:r>
        <w:t xml:space="preserve"> The goal of this plan is to ensure effective support to ambulatory operations and optimal PER support shaped by timely and complete throughput on all job duties/responsibilities and fostering a positive and professional culture driven by united partnerships. During our meeting, we reviewed the following expectations of your role as Ambulatory Clinic Supervisor II in the Department of Urology as well as our clinical/untildepartment specific protocols and procedures.</w:t>
      </w:r>
    </w:p>
    <w:p>
      <w:pPr>
        <w:spacing w:after="240"/>
      </w:pPr>
      <w:r>
        <w:rPr>
          <w:b/>
          <w:u w:val="single"/>
        </w:rPr>
        <w:t>Response No. 30:</w:t>
      </w:r>
      <w:r>
        <w:t xml:space="preserve"> The Respondent denies any improper motive and asserts that these expectations are business-driven and essential to ambulatory operations. The Respondent further denies that the statement at issue establishes any discriminatory, retaliatory, or otherwise unlawful conduct. The Employer’s enforcement of role-specific protocols and procedures is lawful when based on operational necessity and not discriminatory animus. The Respondent denies that the allegation identifies any facts demonstrating unlawful intent, disparate treatment, or any violation of applicable law, and the allegation therefore fails for lack of evidentiary support.</w:t>
      </w:r>
    </w:p>
    <w:p>
      <w:r>
        <w:rPr>
          <w:b/>
          <w:u w:val="single"/>
        </w:rPr>
        <w:t>Allegation No. 31:</w:t>
      </w:r>
      <w:r>
        <w:t xml:space="preserve"> Additional expectations resulting from todays counseling include</w:t>
        <w:br/>
        <w:t xml:space="preserve"> Successful completion of tasks when assigned/claiming ownership</w:t>
        <w:br/>
        <w:t xml:space="preserve"> Timely throughput on all responsibilities as required to maintain sufficient ambulatory operations</w:t>
        <w:br/>
        <w:t xml:space="preserve"> Ensure coverage at front desk</w:t>
        <w:br/>
        <w:t xml:space="preserve"> Ability/willingness to schedule patients from the workqueue when assigned</w:t>
        <w:br/>
        <w:t xml:space="preserve"> Making a concerted effort to help foster a positive culture across all sectors of the department</w:t>
      </w:r>
    </w:p>
    <w:p>
      <w:pPr>
        <w:spacing w:after="240"/>
      </w:pPr>
      <w:r>
        <w:rPr>
          <w:b/>
          <w:u w:val="single"/>
        </w:rPr>
        <w:t>Response No. 31:</w:t>
      </w:r>
      <w:r>
        <w:t xml:space="preserve"> The Respondent denies the allegation. The additional expectations resulting from today's counseling, including Successful completion of tasks when assigned/claiming ownership; Timely throughput on all responsibilities as required to maintain sufficient ambulatory operations; Ensure coverage at front desk; Ability/willingness to schedule patients from the workqueue when assigned; and Making a concerted effort to help foster a positive culture across all sectors of the department, are specific, objective, and directly tied to the efficient delivery of care and front-desk coverage. The Respondent further states that the personnel file and policy documentation support these legitimate performance standards, and there is no factual basis in the allegation to suggest that these requirements are anything other than appropriate operational expectations.</w:t>
      </w:r>
    </w:p>
    <w:p>
      <w:r>
        <w:rPr>
          <w:b/>
          <w:u w:val="single"/>
        </w:rPr>
        <w:t>Allegation No. 32:</w:t>
      </w:r>
      <w:r>
        <w:t xml:space="preserve"> Immediate and sustained improvement in your performance is expected. If you fail to meet these performance standards further disciplinary action will result in a Performance Improvement Notice/Final Warning (PIN). Additionally, any other future job performance problems, even those unrelated to the issues above, may also result in a PIN or termination depending on the severity of the situation.</w:t>
      </w:r>
    </w:p>
    <w:p>
      <w:pPr>
        <w:spacing w:after="240"/>
      </w:pPr>
      <w:r>
        <w:rPr>
          <w:b/>
          <w:u w:val="single"/>
        </w:rPr>
        <w:t>Response No. 32:</w:t>
      </w:r>
      <w:r>
        <w:t xml:space="preserve"> The Respondent denies Allegation No. 32 to the extent it characterizes any purported performance concerns as established facts warranting disciplinary escalation. The statement that “Immediate and sustained improvement in your performance is expected” is a directive, not an allegation of misconduct, and no competent evidence has been provided demonstrating that the Respondent failed to perform in the manner asserted. The further assertion that a failure to meet these performance standards will result in a Performance Improvement Notice/Final Warning (PIN), and that any future job performance problems, even those unrelated to the issues above, may also result in a PIN or termination depending on severity, is speculative and conditional in nature and does not constitute evidence of any present wrongdoing by the Respondent. Accordingly, the Respondent denies that this allegation establishes any basis for disciplinary action absent proof of actual performance deficiencies and a fair assessment of the circumstances.</w:t>
      </w:r>
    </w:p>
    <w:p>
      <w:pPr>
        <w:spacing w:before="480"/>
        <w:jc w:val="center"/>
      </w:pPr>
      <w:r>
        <w:rPr>
          <w:b/>
        </w:rPr>
        <w:t>IV.</w:t>
      </w:r>
    </w:p>
    <w:p>
      <w:pPr>
        <w:spacing w:after="240"/>
        <w:jc w:val="center"/>
      </w:pPr>
      <w:r>
        <w:rPr>
          <w:b/>
        </w:rPr>
        <w:t>LEGAL ANALYSIS</w:t>
      </w:r>
    </w:p>
    <w:p>
      <w:pPr>
        <w:spacing w:after="200"/>
      </w:pPr>
      <w:r>
        <w:t>IV. Legal Analysis</w:t>
        <w:br/>
        <w:br/>
        <w:t>Based on the allegations provided, and assuming the complaint asserts claims against Boston Children’s Hospital and related personnel arising from the handling of care, communications, access to records, billing, discharge, or related hospital conduct, the pleading appears to raise several possible legal theories, including negligence, medical malpractice, breach of fiduciary duty, negligent infliction of emotional distress, intentional infliction of emotional distress, breach of contract, statutory privacy violations, and any derivative claims tied to hospital policies or administrative practices. At this stage, however, the viability of each claim depends on whether the plaintiff can allege and later prove the essential elements of duty, breach, causation, and damages with sufficient factual specificity.</w:t>
        <w:br/>
        <w:br/>
        <w:t>A. Duty and Standard of Care</w:t>
        <w:br/>
        <w:br/>
        <w:t>A hospital owes its patients a duty to exercise reasonable care in the diagnosis, treatment, supervision, communication, discharge planning, and safeguarding of medical information. If the allegations concern clinical judgment, treatment decisions, or patient management, the governing standard is ordinarily that of reasonable medical and institutional care under similar circumstances. If, instead, the allegations concern administrative conduct, such as records access, scheduling, billing, patient communication, or security procedures, the standard may be evaluated under ordinary negligence principles rather than professional malpractice.</w:t>
        <w:br/>
        <w:br/>
        <w:t>The key threshold question is whether the alleged misconduct arises from professional medical judgment or from ministerial or administrative acts. If professional judgment is implicated, expert testimony may be required to establish the applicable standard of care and causation. If the conduct is administrative, the plaintiff may not need expert testimony for every element, but still must show a breach of a recognized duty and a non-speculative injury.</w:t>
        <w:br/>
        <w:br/>
        <w:t>B. Breach</w:t>
        <w:br/>
        <w:br/>
        <w:t>To survive legal scrutiny, the allegations must identify specific acts or omissions attributable to Boston Children’s Hospital or its agents. Conclusory assertions that the hospital “failed to act properly” are generally insufficient. A viable pleading should specify what occurred, when it occurred, who was involved, what policy or standard was violated, and how the conduct departed from reasonable practice.</w:t>
        <w:br/>
        <w:br/>
        <w:t>If the complaint alleges failure to treat, improper discharge, delayed response, inaccurate records, denied access, misrepresentation, coercive communications, or retaliatory conduct, each theory must be supported by concrete factual allegations. The court will likely examine whether the conduct, taken as pleaded, constitutes a deviation from accepted hospital practice or merely a disagreement with medical or administrative judgment.</w:t>
        <w:br/>
        <w:br/>
        <w:t>C. Causation and Damages</w:t>
        <w:br/>
        <w:br/>
        <w:t>A significant issue in any healthcare-related case is proximate causation. The plaintiff must allege a plausible causal connection between the hospital’s conduct and a concrete injury. Allegations of generalized upset, frustration, or dissatisfaction are typically not enough unless tied to a recognized legal injury. If the claims are clinical in nature, the plaintiff generally must show that the alleged breach more likely than not caused actual harm, such as physical injury, worsened condition, additional treatment, lost opportunity for proper care, or measurable financial loss.</w:t>
        <w:br/>
        <w:br/>
        <w:t>Where emotional distress is alleged, courts often require a showing of severe distress and conduct or circumstances that satisfy the governing tort standard. Merely alleging stress or distress from an adverse hospital experience is usually insufficient without objective facts showing substantial harm.</w:t>
        <w:br/>
        <w:br/>
        <w:t>D. Institutional Liability</w:t>
        <w:br/>
        <w:br/>
        <w:t>Boston Children’s Hospital may be held liable for acts of employees acting within the scope of employment under respondeat superior, subject to applicable statutory and common-law limitations. However, the hospital is not automatically liable for every act of every clinician or staff member. The complaint must connect each alleged wrongful act to an employee, agent, or policy of the hospital. If the claims depend on ratification, negligent supervision, or institutional policy failures, the pleading must identify facts showing notice, failure to intervene, or foreseeability of harm.</w:t>
        <w:br/>
        <w:br/>
        <w:t>If the allegations concern conduct by independent practitioners, outside consultants, or non-employee providers, the plaintiff must plausibly plead an agency relationship or some other basis for institutional responsibility.</w:t>
        <w:br/>
        <w:br/>
        <w:t>E. Statutory and Procedural Issues</w:t>
        <w:br/>
        <w:br/>
        <w:t>Any privacy, records, or billing claims may be governed by specialized statutory schemes. Depending on the precise facts, the plaintiff may be required to exhaust administrative remedies, comply with notice provisions, or plead violations with specificity. To the extent the claims sound in fraud, misrepresentation, or concealment, heightened pleading requirements may apply.</w:t>
        <w:br/>
        <w:br/>
        <w:t>The court may also examine whether some allegations are barred by preemption, immunity, limitations periods, or failure to comply with medical-malpractice procedural prerequisites. If the claims require expert certification, affidavit, or pre-suit notice under the relevant jurisdiction’s law, failure to satisfy those requirements could be fatal.</w:t>
        <w:br/>
        <w:br/>
        <w:t>F. Overall Assessment</w:t>
        <w:br/>
        <w:br/>
        <w:t>On the present information, the strongest defense position is that the allegations, even if numerous, may not collectively establish a legally cognizable claim absent specific facts showing a duty, breach, causation, and damages. The plaintiff must do more than catalog grievances; the complaint must state a plausible claim that the hospital’s conduct fell below a legally recognized standard and caused actual harm. If the 92 allegations are repetitive, conclusory, internally inconsistent, or unsupported by dates and actors, they may be vulnerable to dismissal or narrowing through a motion to dismiss or summary judgment.</w:t>
        <w:br/>
        <w:br/>
        <w:t>V. Affirmative Defenses</w:t>
        <w:br/>
        <w:br/>
        <w:t>1. Failure to state a claim upon which relief can be granted.</w:t>
        <w:br/>
        <w:t>2. Failure to plead facts sufficient to establish duty, breach, causation, and damages.</w:t>
        <w:br/>
        <w:t>3. Lack of proximate causation.</w:t>
        <w:br/>
        <w:t>4. Speculative, conclusory, or unsupported allegations.</w:t>
        <w:br/>
        <w:t>5. Failure to exhaust administrative remedies, if applicable.</w:t>
        <w:br/>
        <w:t>6. Failure to comply with statutory pre-suit notice or affidavit requirements, if applicable.</w:t>
        <w:br/>
        <w:t>7. Statute of limitations and/or statute of repose.</w:t>
        <w:br/>
        <w:t>8. Comparative negligence and/or contributory negligence, to the extent applicable.</w:t>
        <w:br/>
        <w:t>9. Intervening and superseding cause.</w:t>
        <w:br/>
        <w:t>10. Good-faith exercise of professional medical judgment.</w:t>
        <w:br/>
        <w:t>11. Qualified immunity or statutory immunity, if applicable to specific defendants.</w:t>
        <w:br/>
        <w:t>12. Respondeat superior does not apply to acts outside the scope of employment or by independent contractors.</w:t>
        <w:br/>
        <w:t>13. Lack of standing, to the extent plaintiff seeks relief for injuries not personally suffered.</w:t>
        <w:br/>
        <w:t>14. Failure to mitigate damages.</w:t>
        <w:br/>
        <w:t>15. Setoff, credit, and/or payment of benefits.</w:t>
        <w:br/>
        <w:t>16. Absence of severe or legally compensable injury.</w:t>
        <w:br/>
        <w:t>17. Truth, justification, privilege, and/or lawful conduct.</w:t>
        <w:br/>
        <w:t>18. Preemption by federal or state law, if applicable.</w:t>
        <w:br/>
        <w:t>19. Lack of personal jurisdiction or improper venue, if applicable.</w:t>
        <w:br/>
        <w:t>20. Reservation of the right to assert additional defenses as discovery proceeds.</w:t>
        <w:br/>
        <w:br/>
        <w:t>VI. Conclusion</w:t>
        <w:br/>
        <w:br/>
        <w:t>For the reasons stated above, the allegations as presently framed may not be sufficient to establish liability against Boston Children’s Hospital without more specific facts tying identifiable conduct to a cognizable legal duty, a breach of that duty, and resulting damages. The hospital should preserve all defenses, challenge vague or conclusory allegations, and seek dismissal of any claims that are unsupported by concrete factual detail or barred by applicable procedural and substantive law. If the matter proceeds, discovery should focus on the exact conduct alleged, the identity and role of each actor, the applicable standard of care, the existence of any hospital policy or institutional practice, and whether any claimed injury was actually caused by the hospital rather than by independent medical conditions or intervening events.</w:t>
      </w:r>
    </w:p>
    <w:p>
      <w:pPr>
        <w:spacing w:before="480"/>
        <w:jc w:val="center"/>
      </w:pPr>
      <w:r>
        <w:rPr>
          <w:b/>
        </w:rPr>
        <w:t>V.</w:t>
      </w:r>
    </w:p>
    <w:p>
      <w:pPr>
        <w:spacing w:after="240"/>
        <w:jc w:val="center"/>
      </w:pPr>
      <w:r>
        <w:rPr>
          <w:b/>
        </w:rPr>
        <w:t>AFFIRMATIVE DEFENSES</w:t>
      </w:r>
    </w:p>
    <w:p>
      <w:pPr>
        <w:spacing w:after="200"/>
      </w:pPr>
      <w:r>
        <w:t>Failure to state a claim upon which relief can be granted.</w:t>
      </w:r>
    </w:p>
    <w:p>
      <w:pPr>
        <w:spacing w:after="200"/>
      </w:pPr>
      <w:r>
        <w:t>Failure to plead facts sufficient to establish duty, breach, causation, and damages.</w:t>
      </w:r>
    </w:p>
    <w:p>
      <w:pPr>
        <w:spacing w:after="200"/>
      </w:pPr>
      <w:r>
        <w:t>Lack of proximate causation.</w:t>
      </w:r>
    </w:p>
    <w:p>
      <w:pPr>
        <w:spacing w:after="200"/>
      </w:pPr>
      <w:r>
        <w:t>Speculative, conclusory, or unsupported allegations.</w:t>
      </w:r>
    </w:p>
    <w:p>
      <w:pPr>
        <w:spacing w:after="200"/>
      </w:pPr>
      <w:r>
        <w:t>Failure to exhaust administrative remedies, if applicable.</w:t>
      </w:r>
    </w:p>
    <w:p>
      <w:pPr>
        <w:spacing w:after="200"/>
      </w:pPr>
      <w:r>
        <w:t>Failure to comply with statutory pre-suit notice or affidavit requirements, if applicable.</w:t>
      </w:r>
    </w:p>
    <w:p>
      <w:pPr>
        <w:spacing w:after="200"/>
      </w:pPr>
      <w:r>
        <w:t>Statute of limitations and/or statute of repose.</w:t>
      </w:r>
    </w:p>
    <w:p>
      <w:pPr>
        <w:spacing w:after="200"/>
      </w:pPr>
      <w:r>
        <w:t>Comparative negligence and/or contributory negligence, to the extent applicable.</w:t>
      </w:r>
    </w:p>
    <w:p>
      <w:pPr>
        <w:spacing w:after="200"/>
      </w:pPr>
      <w:r>
        <w:t>Intervening and superseding cause.</w:t>
      </w:r>
    </w:p>
    <w:p>
      <w:pPr>
        <w:spacing w:after="200"/>
      </w:pPr>
      <w:r>
        <w:t>Good-faith exercise of professional medical judgment.</w:t>
      </w:r>
    </w:p>
    <w:p>
      <w:pPr>
        <w:spacing w:after="200"/>
      </w:pPr>
      <w:r>
        <w:t>Qualified immunity or statutory immunity, if applicable to specific defendants.</w:t>
      </w:r>
    </w:p>
    <w:p>
      <w:pPr>
        <w:spacing w:after="200"/>
      </w:pPr>
      <w:r>
        <w:t>Respondeat superior does not apply to acts outside the scope of employment or by independent contractors.</w:t>
      </w:r>
    </w:p>
    <w:p>
      <w:pPr>
        <w:spacing w:after="200"/>
      </w:pPr>
      <w:r>
        <w:t>Lack of standing, to the extent plaintiff seeks relief for injuries not personally suffered.</w:t>
      </w:r>
    </w:p>
    <w:p>
      <w:pPr>
        <w:spacing w:after="200"/>
      </w:pPr>
      <w:r>
        <w:t>Failure to mitigate damages.</w:t>
      </w:r>
    </w:p>
    <w:p>
      <w:pPr>
        <w:spacing w:after="200"/>
      </w:pPr>
      <w:r>
        <w:t>Setoff, credit, and/or payment of benefits.</w:t>
      </w:r>
    </w:p>
    <w:p>
      <w:pPr>
        <w:spacing w:after="200"/>
      </w:pPr>
      <w:r>
        <w:t>Absence of severe or legally compensable injury.</w:t>
      </w:r>
    </w:p>
    <w:p>
      <w:pPr>
        <w:spacing w:after="200"/>
      </w:pPr>
      <w:r>
        <w:t>Truth, justification, privilege, and/or lawful conduct.</w:t>
      </w:r>
    </w:p>
    <w:p>
      <w:pPr>
        <w:spacing w:after="200"/>
      </w:pPr>
      <w:r>
        <w:t>Preemption by federal or state law, if applicable.</w:t>
      </w:r>
    </w:p>
    <w:p>
      <w:pPr>
        <w:spacing w:after="200"/>
      </w:pPr>
      <w:r>
        <w:t>Lack of personal jurisdiction or improper venue, if applicable.</w:t>
      </w:r>
    </w:p>
    <w:p>
      <w:pPr>
        <w:spacing w:after="200"/>
      </w:pPr>
      <w:r>
        <w:t>Reservation of the right to assert additional defenses as discovery proceeds.</w:t>
      </w:r>
    </w:p>
    <w:p>
      <w:pPr>
        <w:spacing w:before="480"/>
        <w:jc w:val="center"/>
      </w:pPr>
      <w:r>
        <w:rPr>
          <w:b/>
        </w:rPr>
        <w:t>VI.</w:t>
      </w:r>
    </w:p>
    <w:p>
      <w:pPr>
        <w:spacing w:after="240"/>
        <w:jc w:val="center"/>
      </w:pPr>
      <w:r>
        <w:rPr>
          <w:b/>
        </w:rPr>
        <w:t>CONCLUSION</w:t>
      </w:r>
    </w:p>
    <w:p>
      <w:pPr>
        <w:spacing w:after="200"/>
      </w:pPr>
      <w:r>
        <w:t>For the reasons stated above, the allegations as presently framed may not be sufficient to establish liability against Boston Children’s Hospital without more specific facts tying identifiable conduct to a cognizable legal duty, a breach of that duty, and resulting damages. The hospital should preserve all defenses, challenge vague or conclusory allegations, and seek dismissal of any claims that are unsupported by concrete factual detail or barred by applicable procedural and substantive law. If the matter proceeds, discovery should focus on the exact conduct alleged, the identity and role of each actor, the applicable standard of care, the existence of any hospital policy or institutional practice, and whether any claimed injury was actually caused by the hospital rather than by independent medical conditions or intervening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