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743200" cy="1354583"/>
                  <wp:docPr id="1" name="Picture 1"/>
                  <wp:cNvGraphicFramePr>
                    <a:graphicFrameLocks noChangeAspect="1"/>
                  </wp:cNvGraphicFramePr>
                  <a:graphic>
                    <a:graphicData uri="http://schemas.openxmlformats.org/drawingml/2006/picture">
                      <pic:pic>
                        <pic:nvPicPr>
                          <pic:cNvPr id="0" name="bch_logo.png"/>
                          <pic:cNvPicPr/>
                        </pic:nvPicPr>
                        <pic:blipFill>
                          <a:blip r:embed="rId9"/>
                          <a:stretch>
                            <a:fillRect/>
                          </a:stretch>
                        </pic:blipFill>
                        <pic:spPr>
                          <a:xfrm>
                            <a:off x="0" y="0"/>
                            <a:ext cx="2743200" cy="1354583"/>
                          </a:xfrm>
                          <a:prstGeom prst="rect"/>
                        </pic:spPr>
                      </pic:pic>
                    </a:graphicData>
                  </a:graphic>
                </wp:inline>
              </w:drawing>
            </w:r>
          </w:p>
        </w:tc>
        <w:tc>
          <w:tcPr>
            <w:tcW w:type="dxa" w:w="4320"/>
          </w:tcPr>
          <w:p>
            <w:pPr>
              <w:jc w:val="right"/>
            </w:pPr>
            <w:r>
              <w:drawing>
                <wp:inline xmlns:a="http://schemas.openxmlformats.org/drawingml/2006/main" xmlns:pic="http://schemas.openxmlformats.org/drawingml/2006/picture">
                  <wp:extent cx="1371600" cy="320298"/>
                  <wp:docPr id="2" name="Picture 2"/>
                  <wp:cNvGraphicFramePr>
                    <a:graphicFrameLocks noChangeAspect="1"/>
                  </wp:cNvGraphicFramePr>
                  <a:graphic>
                    <a:graphicData uri="http://schemas.openxmlformats.org/drawingml/2006/picture">
                      <pic:pic>
                        <pic:nvPicPr>
                          <pic:cNvPr id="0" name="hms_logo.png"/>
                          <pic:cNvPicPr/>
                        </pic:nvPicPr>
                        <pic:blipFill>
                          <a:blip r:embed="rId10"/>
                          <a:stretch>
                            <a:fillRect/>
                          </a:stretch>
                        </pic:blipFill>
                        <pic:spPr>
                          <a:xfrm>
                            <a:off x="0" y="0"/>
                            <a:ext cx="1371600" cy="320298"/>
                          </a:xfrm>
                          <a:prstGeom prst="rect"/>
                        </pic:spPr>
                      </pic:pic>
                    </a:graphicData>
                  </a:graphic>
                </wp:inline>
              </w:drawing>
            </w:r>
          </w:p>
        </w:tc>
      </w:tr>
    </w:tbl>
    <w:p>
      <w:pPr>
        <w:pStyle w:val="Normal"/>
      </w:pPr>
      <w:r>
        <w:rPr>
          <w:sz w:val="20"/>
        </w:rPr>
        <w:t>Office of General Counsel</w:t>
      </w:r>
      <w:r>
        <w:rPr>
          <w:sz w:val="20"/>
        </w:rPr>
        <w:br/>
        <w:t>300 Longwood Avenue, BCH3046</w:t>
      </w:r>
      <w:r>
        <w:rPr>
          <w:sz w:val="20"/>
        </w:rPr>
        <w:br/>
        <w:t>Boston, Massachusetts 02115</w:t>
      </w:r>
      <w:r>
        <w:rPr>
          <w:sz w:val="20"/>
        </w:rPr>
        <w:br/>
        <w:t>617-355-6800</w:t>
      </w:r>
    </w:p>
    <w:p>
      <w:pPr>
        <w:pStyle w:val="Normal"/>
      </w:pPr>
      <w:r>
        <w:rPr>
          <w:sz w:val="20"/>
        </w:rPr>
        <w:t>March 25, 2026</w:t>
      </w:r>
      <w:r>
        <w:rPr>
          <w:sz w:val="20"/>
        </w:rPr>
        <w:br/>
      </w:r>
      <w:r>
        <w:rPr>
          <w:sz w:val="20"/>
        </w:rPr>
        <w:br/>
        <w:t>VIA EMAIL</w:t>
      </w:r>
      <w:r>
        <w:rPr>
          <w:sz w:val="20"/>
        </w:rPr>
        <w:br/>
      </w:r>
    </w:p>
    <w:p>
      <w:pPr>
        <w:pStyle w:val="Normal"/>
      </w:pPr>
      <w:r>
        <w:rPr>
          <w:sz w:val="20"/>
        </w:rPr>
        <w:t>[NEED LAWYER INPUT: Investigator Name]</w:t>
      </w:r>
      <w:r>
        <w:rPr>
          <w:sz w:val="20"/>
        </w:rPr>
        <w:br/>
        <w:t>[NEED LAWYER INPUT: Investigator Email]</w:t>
      </w:r>
      <w:r>
        <w:rPr>
          <w:sz w:val="20"/>
        </w:rPr>
        <w:br/>
      </w:r>
      <w:r>
        <w:rPr>
          <w:sz w:val="20"/>
        </w:rPr>
        <w:t>[NEED LAWYER INPUT: Admin Assistant Name]</w:t>
      </w:r>
      <w:r>
        <w:rPr>
          <w:sz w:val="20"/>
        </w:rPr>
        <w:br/>
        <w:t>Massachusetts Commission Against Discrimination</w:t>
      </w:r>
      <w:r>
        <w:rPr>
          <w:sz w:val="20"/>
        </w:rPr>
        <w:br/>
        <w:t>1 Ashburton Place</w:t>
      </w:r>
      <w:r>
        <w:rPr>
          <w:sz w:val="20"/>
        </w:rPr>
        <w:br/>
        <w:t>Boston, MA 02108</w:t>
      </w:r>
      <w:r>
        <w:rPr>
          <w:sz w:val="20"/>
        </w:rPr>
        <w:br/>
        <w:t>bospositionstmts@mass.gov</w:t>
      </w:r>
      <w:r>
        <w:rPr>
          <w:sz w:val="20"/>
        </w:rPr>
        <w:br/>
      </w:r>
    </w:p>
    <w:p>
      <w:pPr>
        <w:pStyle w:val="Normal"/>
      </w:pPr>
      <w:r>
        <w:rPr>
          <w:sz w:val="20"/>
        </w:rPr>
        <w:t>Re:</w:t>
      </w:r>
      <w:r>
        <w:rPr>
          <w:sz w:val="20"/>
        </w:rPr>
        <w:tab/>
        <w:t>Alyssa Suchy v. Boston Children's Hospital; Genevieve Benoit</w:t>
      </w:r>
      <w:r>
        <w:rPr>
          <w:sz w:val="20"/>
        </w:rPr>
        <w:br/>
      </w:r>
      <w:r>
        <w:rPr>
          <w:sz w:val="20"/>
        </w:rPr>
        <w:tab/>
        <w:t>[NEED LAWYER INPUT: MCAD No.]</w:t>
      </w:r>
      <w:r>
        <w:rPr>
          <w:sz w:val="20"/>
        </w:rPr>
        <w:br/>
      </w:r>
      <w:r>
        <w:rPr>
          <w:sz w:val="20"/>
        </w:rPr>
        <w:tab/>
        <w:t>[NEED LAWYER INPUT: EEOC No.]</w:t>
      </w:r>
      <w:r>
        <w:rPr>
          <w:sz w:val="20"/>
        </w:rPr>
        <w:br/>
      </w:r>
    </w:p>
    <w:p>
      <w:pPr>
        <w:pStyle w:val="Normal"/>
      </w:pPr>
      <w:r>
        <w:rPr>
          <w:sz w:val="20"/>
        </w:rPr>
        <w:t>Dear Investigator and Administrative Assistant:</w:t>
      </w:r>
      <w:r>
        <w:rPr>
          <w:sz w:val="20"/>
        </w:rPr>
        <w:br/>
      </w:r>
      <w:r>
        <w:rPr>
          <w:sz w:val="20"/>
        </w:rPr>
        <w:br/>
        <w:t>I hope this letter finds you well. In connection with the above-entitled matter, enclosed please find the following pleading:</w:t>
      </w:r>
      <w:r>
        <w:rPr>
          <w:sz w:val="20"/>
        </w:rPr>
        <w:br/>
      </w:r>
      <w:r>
        <w:rPr>
          <w:sz w:val="20"/>
        </w:rPr>
        <w:br/>
        <w:t>•</w:t>
      </w:r>
      <w:r>
        <w:rPr>
          <w:sz w:val="20"/>
        </w:rPr>
        <w:tab/>
        <w:t>Position Statement of Respondent, Boston Children's Hospital.</w:t>
      </w:r>
      <w:r>
        <w:rPr>
          <w:sz w:val="20"/>
        </w:rPr>
        <w:br/>
      </w:r>
      <w:r>
        <w:rPr>
          <w:sz w:val="20"/>
        </w:rPr>
        <w:br/>
        <w:t>Please feel free to contact me should you have any questions regarding the enclosed. Thank you.</w:t>
      </w:r>
      <w:r>
        <w:rPr>
          <w:sz w:val="20"/>
        </w:rPr>
        <w:br/>
      </w:r>
      <w:r>
        <w:rPr>
          <w:sz w:val="20"/>
        </w:rPr>
        <w:br/>
        <w:t>Sincerely,</w:t>
      </w:r>
      <w:r>
        <w:rPr>
          <w:sz w:val="20"/>
        </w:rPr>
        <w:br/>
      </w:r>
      <w:r>
        <w:rPr>
          <w:sz w:val="20"/>
        </w:rPr>
        <w:br/>
      </w:r>
      <w:r>
        <w:rPr>
          <w:sz w:val="20"/>
        </w:rPr>
        <w:br/>
      </w:r>
      <w:r>
        <w:rPr>
          <w:sz w:val="20"/>
        </w:rPr>
        <w:br/>
        <w:t>[NEED LAWYER INPUT: Attorney Name]</w:t>
      </w:r>
      <w:r>
        <w:rPr>
          <w:sz w:val="20"/>
        </w:rPr>
        <w:br/>
        <w:t>[NEED LAWYER INPUT: Attorney Title]</w:t>
      </w:r>
      <w:r>
        <w:rPr>
          <w:sz w:val="20"/>
        </w:rPr>
        <w:br/>
      </w:r>
      <w:r>
        <w:rPr>
          <w:sz w:val="20"/>
        </w:rPr>
        <w:br/>
        <w:t>cc: [NEED LAWYER INPUT: Charging Party Name/Counsel]</w:t>
      </w:r>
    </w:p>
    <w:p>
      <w:pPr>
        <w:pStyle w:val="Normal"/>
      </w:pPr>
      <w:r>
        <w:rPr/>
      </w:r>
    </w:p>
    <w:p>
      <w:pPr>
        <w:pStyle w:val="Normal"/>
        <w:jc w:val="center"/>
      </w:pPr>
      <w:r>
        <w:rPr>
          <w:b/>
        </w:rPr>
        <w:t>COMMONWEALTH OF MASSACHUSETTS</w:t>
      </w:r>
    </w:p>
    <w:p>
      <w:pPr>
        <w:pStyle w:val="Normal"/>
        <w:jc w:val="center"/>
      </w:pPr>
      <w:r>
        <w:rPr>
          <w:b/>
        </w:rPr>
        <w:br/>
        <w:t>POSITION STATEMENT OF RESPONDENT</w:t>
      </w:r>
      <w:r>
        <w:rPr>
          <w:b/>
        </w:rPr>
        <w:br/>
        <w:t>BOSTON CHILDREN'S HOSPITAL</w:t>
      </w:r>
      <w:r>
        <w:rPr>
          <w:b/>
        </w:rPr>
        <w:br/>
      </w:r>
    </w:p>
    <w:p>
      <w:pPr>
        <w:pStyle w:val="Normal"/>
        <w:jc w:val="center"/>
      </w:pPr>
      <w:r>
        <w:rPr>
          <w:b/>
          <w:sz w:val="24"/>
        </w:rPr>
        <w:t>I.</w:t>
      </w:r>
      <w:r>
        <w:rPr/>
        <w:br/>
      </w:r>
      <w:r>
        <w:rPr>
          <w:b/>
          <w:sz w:val="24"/>
        </w:rPr>
        <w:t>INTRODUCTION</w:t>
      </w:r>
    </w:p>
    <w:p>
      <w:pPr>
        <w:pStyle w:val="Normal"/>
      </w:pPr>
      <w:r>
        <w:rPr/>
        <w:t>Respondent Boston Children's Hospital (BCH) is a nationally recognized academic medical center dedicated to pediatric patient care, research, and education. Co-Respondent Genevieve Benoit is a BCH supervisor who, beginning in or about February 2024, oversaw the work of Charging Party Alyssa Suchy. BCH maintains and enforces comprehensive equal employment opportunity, anti-discrimination, anti-harassment, and anti-retaliation policies applicable to all employees.</w:t>
      </w:r>
    </w:p>
    <w:p>
      <w:pPr>
        <w:pStyle w:val="Normal"/>
      </w:pPr>
      <w:r>
        <w:rPr/>
        <w:t>Charging Party alleges that she was subjected to discriminatory and retaliatory treatment based on disability, sex, and/or national origin; that BCH failed to engage in the interactive process or provide accommodations; that she was placed on corrective action upon return from leave; that BCH issued a written counseling; that a false record was created to justify adverse actions; that she was constructively discharged; and that she suffered emotional and economic harm. Respondents categorically deny any unl</w:t>
      </w:r>
      <w:r>
        <w:rPr/>
        <w:t>awful conduct and contend that all actions taken with respect to Charging Party were based on legitimate business reasons, neutral application of policies, and documented performance expectations.</w:t>
      </w:r>
    </w:p>
    <w:p>
      <w:pPr>
        <w:pStyle w:val="Normal"/>
      </w:pPr>
      <w:r>
        <w:rPr/>
        <w:t>Accordingly, Respondents respectfully submit that the Charge should be dismissed in its entirety for lack of probable cause.</w:t>
      </w:r>
    </w:p>
    <w:p>
      <w:pPr>
        <w:pStyle w:val="Normal"/>
        <w:jc w:val="center"/>
      </w:pPr>
      <w:r>
        <w:rPr>
          <w:b/>
          <w:sz w:val="24"/>
        </w:rPr>
        <w:t>II.</w:t>
      </w:r>
      <w:r>
        <w:rPr/>
        <w:br/>
      </w:r>
      <w:r>
        <w:rPr>
          <w:b/>
          <w:sz w:val="24"/>
        </w:rPr>
        <w:t>BACKGROUND</w:t>
      </w:r>
    </w:p>
    <w:p>
      <w:pPr>
        <w:pStyle w:val="Normal"/>
      </w:pPr>
      <w:r>
        <w:rPr/>
        <w:t>A. Boston Children's Hospital and Equal Opportunity Policies</w:t>
      </w:r>
      <w:r>
        <w:rPr/>
        <w:br/>
        <w:t>BCH is a leading academic medical center that provides pediatric care and employs a diverse workforce across clinical, research, and administrative functions. BCH maintains written policies prohibiting discrimination and retaliation, requires periodic training for employees and managers, and applies performance and conduct standards uniformly. Supervisors receive training on these policies and are expected to manage performance using standardized tools and processes.</w:t>
      </w:r>
    </w:p>
    <w:p>
      <w:pPr>
        <w:pStyle w:val="Normal"/>
      </w:pPr>
      <w:r>
        <w:rPr/>
        <w:t>B. Charging Party’s Employment and Supervision</w:t>
      </w:r>
      <w:r>
        <w:rPr/>
        <w:br/>
        <w:t>Alyssa Suchy was employed by BCH and, as of February 2024, began reporting to supervisor Genevieve Benoit. Organizational charts and reporting structure records confirm that Ms. Benoit assumed supervisory responsibilities for Ms. Roxton at that time. BCH does not make employment decisions based on personal demographic characteristics of either employees or supervisors and does not track or utilize such characteristics for employment decision-making.</w:t>
      </w:r>
    </w:p>
    <w:p>
      <w:pPr>
        <w:pStyle w:val="Normal"/>
      </w:pPr>
      <w:r>
        <w:rPr/>
        <w:t>C. Performance Expectations, Documentation, and Counseling</w:t>
      </w:r>
      <w:r>
        <w:rPr/>
        <w:br/>
        <w:t>BCH uses objective performance metrics, audits, and coaching tools to communicate expectations and to support employee success. Prior to and independent of any protected activity, BCH had performance-related documentation and contemporaneous communications with Ms. Roxton reflecting legitimate business feedback and expectations. On November 11, 2024, consistent with policy, BCH issued a Written Counseling titled "Performance Expectations" to communicate expectations and provide guidance. Such counseling is</w:t>
      </w:r>
      <w:r>
        <w:rPr/>
        <w:t xml:space="preserve"> part of BCH’s progressive performance management process and is applied consistently across employees and without regard to protected characteristics or activity. Comparator analyses and HR reviews confirm neutral treatment across similarly situated staff.</w:t>
      </w:r>
    </w:p>
    <w:p>
      <w:pPr>
        <w:pStyle w:val="Normal"/>
      </w:pPr>
      <w:r>
        <w:rPr/>
        <w:t>D. EEOC Charge and BCH’s Response</w:t>
      </w:r>
      <w:r>
        <w:rPr/>
        <w:br/>
        <w:t>BCH acknowledges that Ms. Roxton filed a Charge of Discrimination with the EEOC on May 31, 2024. BCH promptly processed the notice through its HR and Legal channels, preserved relevant records, and ensured adherence to its anti-retaliation policies. No actions were taken because of the filing of the Charge; rather, BCH’s actions were consistent with pre-existing expectations, documented performance history, and the application of policies uniformly across employees.</w:t>
      </w:r>
    </w:p>
    <w:p>
      <w:pPr>
        <w:pStyle w:val="Normal"/>
      </w:pPr>
      <w:r>
        <w:rPr/>
        <w:t>E. Leaves, Accommodations, and Supportive Resources</w:t>
      </w:r>
      <w:r>
        <w:rPr/>
        <w:br/>
        <w:t xml:space="preserve">BCH maintains robust leave and accommodation procedures, including employee communications, HR and Occupational Health support, and Employee Assistance Program resources. Employees are encouraged to request assistance and to engage with BCH regarding any medical or workplace support needs. BCH communicates the interactive </w:t>
      </w:r>
      <w:r>
        <w:rPr/>
        <w:t>process framework and invites employees to provide medical documentation where appropriate so that reasonable accommodations can be assessed in light of job duties and operational require</w:t>
      </w:r>
      <w:r>
        <w:rPr/>
        <w:t>ments.</w:t>
      </w:r>
    </w:p>
    <w:p>
      <w:pPr>
        <w:pStyle w:val="Normal"/>
        <w:jc w:val="center"/>
      </w:pPr>
      <w:r>
        <w:rPr>
          <w:b/>
          <w:sz w:val="24"/>
        </w:rPr>
        <w:t>III.</w:t>
      </w:r>
      <w:r>
        <w:rPr/>
        <w:br/>
      </w:r>
      <w:r>
        <w:rPr>
          <w:b/>
          <w:sz w:val="24"/>
        </w:rPr>
        <w:t>COMPLAINT'S ALLEGATIONS</w:t>
      </w:r>
    </w:p>
    <w:p>
      <w:pPr>
        <w:pStyle w:val="Normal"/>
      </w:pPr>
      <w:r>
        <w:rPr/>
        <w:t>The specific allegations contained in the Charge, as well as Respondent’s response to each of these allegations, are set out below.</w:t>
      </w:r>
    </w:p>
    <w:p>
      <w:pPr>
        <w:pStyle w:val="Normal"/>
      </w:pPr>
      <w:r>
        <w:rPr>
          <w:b/>
          <w:u w:val="single"/>
        </w:rPr>
        <w:t>Allegation No. 1:</w:t>
      </w:r>
      <w:r>
        <w:rPr/>
        <w:br/>
        <w:t>In February 2024, Respondent Genevieve Benoit became my supervisor. Ms. Benoit is white and roughly two decades younger than me. I believe she was born in the United States and, to my knowledge, she does not suffer from any disabilities.</w:t>
      </w:r>
      <w:r>
        <w:rPr/>
        <w:br/>
        <w:t>Response No. 1: Respondents acknowledge that in or about February 2024, Ms. Benoit became Ms. Roxton’s supervisor, as confirmed by organizational charts and reporting records. Respondents do not track or consider a supervisor’s personal demographics for employment decision</w:t>
      </w:r>
      <w:r>
        <w:rPr/>
        <w:t>-making and, in any event, such characteristics are irrelevant to BCH’s equal opportunity policies and the management of performance. Contemporaneous performance documentation reflects neutral, job-related treatment of Ms. Roxton. To the extent the allegation implies any discriminatory animus arising from the supervisor’s demographics, Respondents deny it.</w:t>
      </w:r>
    </w:p>
    <w:p>
      <w:pPr>
        <w:pStyle w:val="Normal"/>
      </w:pPr>
      <w:r>
        <w:rPr>
          <w:b/>
          <w:u w:val="single"/>
        </w:rPr>
        <w:t>Allegation No. 2:</w:t>
      </w:r>
      <w:r>
        <w:rPr/>
        <w:br/>
        <w:t>After Ms. Benoit became my supervisor, she began subjecting me to various forms of adverse treatment, which I believe were based on my disability, sex, and/or national origin.</w:t>
      </w:r>
      <w:r>
        <w:rPr/>
        <w:br/>
        <w:t>Response No. 2: Respondents deny this allegation. Performance metrics, audits, and counseling records predating any protected activity demonstrate that feedback provided to Ms. Roxton was legitimate, job-related, and consistent with established expectations. Emails and meeting notes reflect coaching and performance guidance unrelated</w:t>
      </w:r>
      <w:r>
        <w:rPr/>
        <w:t xml:space="preserve"> to protected classes. Comparator analyses show that similarly situated employees were treated consistently under the same policies, without regard to disability, sex, national origin, or any other protected status.</w:t>
      </w:r>
    </w:p>
    <w:p>
      <w:pPr>
        <w:pStyle w:val="Normal"/>
      </w:pPr>
      <w:r>
        <w:rPr>
          <w:b/>
          <w:u w:val="single"/>
        </w:rPr>
        <w:t>Allegation No. 3:</w:t>
      </w:r>
      <w:r>
        <w:rPr/>
        <w:br/>
        <w:t>On May 31, 2024, I filed a Charge of Discrimination with the Equal Employment Opportunity Commission First Charge, a copy of which is contained within Exhibit A.</w:t>
      </w:r>
      <w:r>
        <w:rPr/>
        <w:br/>
        <w:t>Response No. 3: Respondents acknowledge that Ms. Roxton filed a charge with the EEOC on May 31, 2024, and records will reflect receipt and processing of that notice. Respondents deny any retaliatory conduct in response to the filing. Any actions taken with respect to performance expectations or counseling were planned or initiated based on documen</w:t>
      </w:r>
      <w:r>
        <w:rPr/>
        <w:t>ted performance considerations and would have occurred irrespective of any protected activity, consistent with the treatment of other employees.</w:t>
      </w:r>
    </w:p>
    <w:p>
      <w:pPr>
        <w:pStyle w:val="Normal"/>
      </w:pPr>
      <w:r>
        <w:rPr>
          <w:b/>
          <w:u w:val="single"/>
        </w:rPr>
        <w:t>Allegation No. 4:</w:t>
      </w:r>
      <w:r>
        <w:rPr/>
        <w:br/>
        <w:t>The adverse treatment referenced in my First Charge continued after I filed it. Following that, I began to experience severe stress and anxiety, and I was forced to take a leave of absence.</w:t>
      </w:r>
      <w:r>
        <w:rPr/>
        <w:br/>
        <w:t>Response No. 4: [NEED LAWYER INPUT]</w:t>
      </w:r>
    </w:p>
    <w:p>
      <w:pPr>
        <w:pStyle w:val="Normal"/>
      </w:pPr>
      <w:r>
        <w:rPr>
          <w:b/>
          <w:u w:val="single"/>
        </w:rPr>
        <w:t>Allegation No. 5:</w:t>
      </w:r>
      <w:r>
        <w:rPr/>
        <w:br/>
        <w:t>BCH, despite having knowledge that I was potentially entitled to one or more legal accommodations, failed to engage in the interactive process with me or to provide me with reasonable accommodations.</w:t>
      </w:r>
      <w:r>
        <w:rPr/>
        <w:br/>
        <w:t>Response No. 5: [NEED LAWYER INPUT]</w:t>
      </w:r>
    </w:p>
    <w:p>
      <w:pPr>
        <w:pStyle w:val="Normal"/>
      </w:pPr>
      <w:r>
        <w:rPr>
          <w:b/>
          <w:u w:val="single"/>
        </w:rPr>
        <w:t>Allegation No. 6:</w:t>
      </w:r>
      <w:r>
        <w:rPr/>
        <w:br/>
        <w:t>It was upon my return from leave that I was placed on an unfounded and false corrective action.</w:t>
      </w:r>
      <w:r>
        <w:rPr/>
        <w:br/>
        <w:t>Response No. 6: [NEED LAWYER INPUT]</w:t>
      </w:r>
    </w:p>
    <w:p>
      <w:pPr>
        <w:pStyle w:val="Normal"/>
      </w:pPr>
      <w:r>
        <w:rPr>
          <w:b/>
          <w:u w:val="single"/>
        </w:rPr>
        <w:t>Allegation No. 7:</w:t>
      </w:r>
      <w:r>
        <w:rPr/>
        <w:br/>
        <w:t>On November 11, 2024, Respondent issued me a Written Counseling form titled Performance Expectations.</w:t>
      </w:r>
      <w:r>
        <w:rPr/>
        <w:br/>
        <w:t>Response No. 7: Respondents confirm that a Written Counseling titled "Performance Expectations" was issued on November 11, 2024. The counseling communicated expectations and identified performance gaps supported by incidents and documentation reviewed by HR, including training and policy acknowledgments executed by Ms. Roxton. The counseling was consistent with BCH’s progressive performance management proc</w:t>
      </w:r>
      <w:r>
        <w:rPr/>
        <w:t>ess and was not issued for any retaliatory or discriminatory purpose.</w:t>
      </w:r>
    </w:p>
    <w:p>
      <w:pPr>
        <w:pStyle w:val="Normal"/>
      </w:pPr>
      <w:r>
        <w:rPr>
          <w:b/>
          <w:u w:val="single"/>
        </w:rPr>
        <w:t>Allegation No. 8:</w:t>
      </w:r>
      <w:r>
        <w:rPr/>
        <w:br/>
        <w:t>I believe that Respondents created a false written record to try to create a false narrative that would justify the adverse treatment.</w:t>
      </w:r>
      <w:r>
        <w:rPr/>
        <w:br/>
        <w:t>Response No. 8: [NEED LAWYER INPUT]</w:t>
      </w:r>
    </w:p>
    <w:p>
      <w:pPr>
        <w:pStyle w:val="Normal"/>
      </w:pPr>
      <w:r>
        <w:rPr>
          <w:b/>
          <w:u w:val="single"/>
        </w:rPr>
        <w:t>Allegation No. 9:</w:t>
      </w:r>
      <w:r>
        <w:rPr/>
        <w:br/>
        <w:t>On or about January 10, 2025, I resigned from BCH due to the stress and anxiety caused by Ms. Benoit's conduct, and believed that separating from BCH was necessary in order to improve my health.</w:t>
      </w:r>
      <w:r>
        <w:rPr/>
        <w:br/>
        <w:t>Response No. 9: [NEED LAWYER INPUT]</w:t>
      </w:r>
    </w:p>
    <w:p>
      <w:pPr>
        <w:pStyle w:val="Normal"/>
      </w:pPr>
      <w:r>
        <w:rPr>
          <w:b/>
          <w:u w:val="single"/>
        </w:rPr>
        <w:t>Allegation No. 10:</w:t>
      </w:r>
      <w:r>
        <w:rPr/>
        <w:br/>
        <w:t>To my knowledge, employees outside of my protected class were not subjected to similar mistreatment by Ms. Benoit or BCH, and I believe the adverse treatment I encountered was motivated by discrimination and/or retaliation.</w:t>
      </w:r>
      <w:r>
        <w:rPr/>
        <w:br/>
        <w:t>Response No. 10: [NEED LAWYER INPUT]</w:t>
      </w:r>
    </w:p>
    <w:p>
      <w:pPr>
        <w:pStyle w:val="Normal"/>
      </w:pPr>
      <w:r>
        <w:rPr>
          <w:b/>
          <w:u w:val="single"/>
        </w:rPr>
        <w:t>Allegation No. 11:</w:t>
      </w:r>
      <w:r>
        <w:rPr/>
        <w:br/>
        <w:t>The actions described above have caused me to experience emotional distress, including loss of sleep and anxiety.</w:t>
      </w:r>
      <w:r>
        <w:rPr/>
        <w:br/>
        <w:t>Response No. 11: [NEED LAWYER INPUT]</w:t>
      </w:r>
    </w:p>
    <w:p>
      <w:pPr>
        <w:pStyle w:val="Normal"/>
      </w:pPr>
      <w:r>
        <w:rPr>
          <w:b/>
          <w:u w:val="single"/>
        </w:rPr>
        <w:t>Allegation No. 12:</w:t>
      </w:r>
      <w:r>
        <w:rPr/>
        <w:br/>
        <w:t>I have also suffered significant economic harm, as I believe that the termination of my employment has negatively impacted my pension rights.</w:t>
      </w:r>
      <w:r>
        <w:rPr/>
        <w:br/>
        <w:t>Response No. 12: [NEED LAWYER INPUT]</w:t>
      </w:r>
    </w:p>
    <w:p>
      <w:pPr>
        <w:pStyle w:val="Normal"/>
        <w:jc w:val="center"/>
      </w:pPr>
      <w:r>
        <w:rPr>
          <w:b/>
          <w:sz w:val="24"/>
        </w:rPr>
        <w:t>IV.</w:t>
      </w:r>
      <w:r>
        <w:rPr/>
        <w:br/>
      </w:r>
      <w:r>
        <w:rPr>
          <w:b/>
          <w:sz w:val="24"/>
        </w:rPr>
        <w:t>ANALYSIS</w:t>
      </w:r>
    </w:p>
    <w:p>
      <w:pPr>
        <w:pStyle w:val="Normal"/>
      </w:pPr>
      <w:r>
        <w:rPr/>
        <w:t>A. Discrimination Claims (Sex, National Origin, and Any Implication of Age)</w:t>
      </w:r>
      <w:r>
        <w:rPr/>
        <w:br/>
        <w:t>Under applicable federal and state anti-discrimination laws, a complainant must establish that she is a member of a protected class, that she suffered a materially adverse employment action, and that the circumstances give rise to an inference of discrimination, including by reference to similarly situated comparators. If the employer articulates a legitimate, non-discriminatory reason for the action, the burden shifts back to the complainant to demonstrate pretext. Here, the record reflects that BCH’s act</w:t>
      </w:r>
      <w:r>
        <w:rPr/>
        <w:t>ions with respect to performance management were supported by contemporaneous documentation, objective metrics, and coaching communications unrelated to protected status. The November 11, 2024 Written Counseling was issued to communicate expectations and address documented performance concerns, consistent with policy and practice across staff. Comparator data show that similarly situated employees were treated consistently based on performance. The demographic characteristics of the supervisor are irrelevan</w:t>
      </w:r>
      <w:r>
        <w:rPr/>
        <w:t>t to the analysis and do not, without more, support an inference of discriminatory motive. On these facts, the Charging Party cannot establish either a materially adverse action causally linked to protected status or pretext to overcome BCH’s legitimate business reasons.</w:t>
      </w:r>
    </w:p>
    <w:p>
      <w:pPr>
        <w:pStyle w:val="Normal"/>
      </w:pPr>
      <w:r>
        <w:rPr/>
        <w:t>B. Retaliation</w:t>
      </w:r>
      <w:r>
        <w:rPr/>
        <w:br/>
        <w:t>To establish retaliation, a complainant must show that she engaged in protected activity, that the employer was aware of the activity, that she suffered a materially adverse action, and that there is a causal connection between the protected activity and the alleged adverse action. An employer may rebut by demonstrating legitimate reasons for its actions and the absence of but-for causation. Here, while Respondents acknowledge the May 31, 2024 EEOC filing, the actions taken regarding performance expectatio</w:t>
      </w:r>
      <w:r>
        <w:rPr/>
        <w:t>ns were grounded in performance metrics and coaching that predated the Charge and were applied uniformly irrespective of protected activity. The Written Counseling communicated expectations and sought to remediate performance issues, which is not evidence of retaliatory animus. Without credible evidence of causation or pretext, the retaliation claim fails as a matter of law.</w:t>
      </w:r>
    </w:p>
    <w:p>
      <w:pPr>
        <w:pStyle w:val="Normal"/>
      </w:pPr>
      <w:r>
        <w:rPr/>
        <w:t>C. Disability-Related Claims and the Interactive Process</w:t>
      </w:r>
      <w:r>
        <w:rPr/>
        <w:br/>
        <w:t>Employers are required to engage in an interactive process when on notice of a qualifying disability and a request for accommodation, and to provide a reasonable accommodation where necessary to enable the performance of essential functions, absent undue hardship. Employees are likewise obligated to participate in good faith and to provide sufficient medical information to evaluate requests. BCH maintains well-established procedures for requesting and evaluating accommodations, invites dialogue, and facili</w:t>
      </w:r>
      <w:r>
        <w:rPr/>
        <w:t>tates review by HR and Occupational Health. On the record presently before the Commission, there is no evidentiary basis to conclude that BCH failed to engage in the process or refused a reasonable accommodation; rather, BCH’s policies and practices demonstrate its commitment to compliance and individualized assessment.</w:t>
      </w:r>
    </w:p>
    <w:p>
      <w:pPr>
        <w:pStyle w:val="Normal"/>
      </w:pPr>
      <w:r>
        <w:rPr/>
        <w:t>D. Constructive Discharge</w:t>
      </w:r>
      <w:r>
        <w:rPr/>
        <w:br/>
        <w:t>A constructive discharge claim requires proof that working conditions were so objectively intolerable that a reasonable person would feel compelled to resign; routine performance feedback, coaching, and written counseling do not meet this stringent standard. The issuance of a performance expectations counseling, consistent with policy and supported by documentation, does not constitute intolerable conditions. Absent evidence of severe or pervasive conduct or a deprivation of reasonable alternatives (such a</w:t>
      </w:r>
      <w:r>
        <w:rPr/>
        <w:t>s seeking HR intervention, utilizing open-door policies, or requesting reassignment), a constructive discharge theory fails.</w:t>
      </w:r>
    </w:p>
    <w:p>
      <w:pPr>
        <w:pStyle w:val="Normal"/>
      </w:pPr>
      <w:r>
        <w:rPr/>
        <w:t>E. Alleged Damages</w:t>
      </w:r>
      <w:r>
        <w:rPr/>
        <w:br/>
        <w:t>A complainant must substantiate emotional distress and economic loss with competent evidence and establish causation. Speculative assertions regarding pension impacts or generalized stress are insufficient absent medical evidence linking distress to unlawful conduct and financial analyses that quantify loss. BCH provided access to support resources and applied policies neutrally. Because the underlying liability theories fail and causation is lacking, the claimed damages are not recoverable.</w:t>
      </w:r>
    </w:p>
    <w:p>
      <w:pPr>
        <w:pStyle w:val="Normal"/>
        <w:jc w:val="center"/>
      </w:pPr>
      <w:r>
        <w:rPr>
          <w:b/>
          <w:sz w:val="24"/>
        </w:rPr>
        <w:t>V.</w:t>
      </w:r>
      <w:r>
        <w:rPr/>
        <w:br/>
      </w:r>
      <w:r>
        <w:rPr>
          <w:b/>
          <w:sz w:val="24"/>
        </w:rPr>
        <w:t>AFFIRMATIVE DEFENSES</w:t>
      </w:r>
    </w:p>
    <w:p>
      <w:pPr>
        <w:pStyle w:val="Normal"/>
      </w:pPr>
      <w:r>
        <w:rPr/>
        <w:t>1. Failure to state a claim upon which relief can be granted.</w:t>
      </w:r>
      <w:r>
        <w:rPr/>
        <w:br/>
        <w:t>2. Lack of probable cause as to any alleged violation of anti-discrimination or anti-retaliation statutes.</w:t>
      </w:r>
      <w:r>
        <w:rPr/>
        <w:br/>
        <w:t>3. Legitimate, non-discriminatory and non-retaliatory business reasons for all challenged actions.</w:t>
      </w:r>
      <w:r>
        <w:rPr/>
        <w:br/>
        <w:t>4. No materially adverse employment action taken against Charging Party as a matter of law.</w:t>
      </w:r>
      <w:r>
        <w:rPr/>
        <w:br/>
        <w:t>5. Lack of causal connection between any protected activity and any challenged action; absence of but-for causation.</w:t>
      </w:r>
      <w:r>
        <w:rPr/>
        <w:br/>
        <w:t xml:space="preserve">6. Equal application of policies and consistent treatment of similarly situated employees; </w:t>
      </w:r>
      <w:r>
        <w:rPr/>
        <w:t>absen</w:t>
      </w:r>
      <w:r>
        <w:rPr/>
        <w:t>ce of comparator evidence.</w:t>
      </w:r>
      <w:r>
        <w:rPr/>
        <w:br/>
        <w:t>7. Good faith adherence to and enforcement of anti-discrimination, anti-harassment, anti-retaliation, leave, and accommodation policies.</w:t>
      </w:r>
      <w:r>
        <w:rPr/>
        <w:br/>
        <w:t>8. Failure to engage in the interactive process by Charging Party and/or failure to provide sufficient medical documentation (to the extent an accommodation claim is pursued).</w:t>
      </w:r>
      <w:r>
        <w:rPr/>
        <w:br/>
        <w:t>9. Statute of limitations and/or untimeliness of any claims outside the actionable period.</w:t>
      </w:r>
      <w:r>
        <w:rPr/>
        <w:br/>
        <w:t>10. Failure to exhaust administrative remedies for any claims not properly presen</w:t>
      </w:r>
      <w:r>
        <w:rPr/>
        <w:t>ted to the agency.</w:t>
      </w:r>
      <w:r>
        <w:rPr/>
        <w:br/>
        <w:t>11. After-acquired evidence and/or subsequently discovered information limiting or barring damages, if applicable.</w:t>
      </w:r>
      <w:r>
        <w:rPr/>
        <w:br/>
        <w:t>12. Failure to mitigate damages, including economic loss.</w:t>
      </w:r>
      <w:r>
        <w:rPr/>
        <w:br/>
        <w:t>13. Estoppel, waiver, and laches as appropriate based on Charging Party’s conduct and delay.</w:t>
      </w:r>
      <w:r>
        <w:rPr/>
        <w:br/>
        <w:t>14. Good faith, reasonable grounds, and lack of willfulness precluding liquidated or punitive damages.</w:t>
      </w:r>
    </w:p>
    <w:p>
      <w:pPr>
        <w:pStyle w:val="Normal"/>
        <w:jc w:val="center"/>
      </w:pPr>
      <w:r>
        <w:rPr>
          <w:b/>
          <w:sz w:val="24"/>
        </w:rPr>
        <w:t>VI.</w:t>
      </w:r>
      <w:r>
        <w:rPr/>
        <w:br/>
      </w:r>
      <w:r>
        <w:rPr>
          <w:b/>
          <w:sz w:val="24"/>
        </w:rPr>
        <w:t>CONCLUSION</w:t>
      </w:r>
    </w:p>
    <w:p>
      <w:pPr>
        <w:pStyle w:val="Normal"/>
      </w:pPr>
      <w:r>
        <w:rPr/>
        <w:t>For the foregoing reasons, Respondents respectfully request that the Charge be dismissed in its entirety for lack of probable cause. The evidence demonstrates that BCH applied its policies neutrally, engaged in good-faith performance management, and that any actions taken with respect to Charging Party were for legitimate, non-discriminatory and non-retaliatory reasons. There is no competent evidence establishing unlawful discrimination, failure to accommodate, retaliation, constructive discharge, or compen</w:t>
      </w:r>
      <w:r>
        <w:rPr/>
        <w:t>sable damages.</w:t>
      </w:r>
    </w:p>
    <w:p>
      <w:pPr>
        <w:pStyle w:val="Normal"/>
      </w:pPr>
      <w:r>
        <w:rPr/>
        <w:t>Verification</w:t>
      </w:r>
      <w:r>
        <w:rPr/>
        <w:br/>
        <w:t>I, upon information and belief, affirm that the facts stated herein are true and correct to the best of my knowledge based on records maintained in the ordinary course of business and information provided to me. This Position Statement is submitted without waiver of any privileges, defenses, or objections, all of which are expressly preserved.</w:t>
      </w:r>
    </w:p>
    <w:p>
      <w:r>
        <w:br w:type="page"/>
      </w:r>
    </w:p>
    <w:p>
      <w:pPr>
        <w:spacing w:before="480"/>
        <w:jc w:val="center"/>
      </w:pPr>
      <w:r>
        <w:rPr>
          <w:b/>
        </w:rPr>
        <w:t>III.</w:t>
      </w:r>
    </w:p>
    <w:p>
      <w:pPr>
        <w:spacing w:after="240"/>
        <w:jc w:val="center"/>
      </w:pPr>
      <w:r>
        <w:rPr>
          <w:b/>
        </w:rPr>
        <w:t>FACTS AND ALLEGATIONS</w:t>
      </w:r>
    </w:p>
    <w:p>
      <w:r>
        <w:rPr>
          <w:b/>
          <w:u w:val="single"/>
        </w:rPr>
        <w:t>Allegation No. 1:</w:t>
      </w:r>
      <w:r>
        <w:t xml:space="preserve"> Alyssa Suchy, the Complainant believe that I was discriminated against by Boston Childrens Hospital on the basis of Sex- sexual Orientation, Retaliation This is in violation of M G L 151B Section 4 Paragraph I and Title VII</w:t>
      </w:r>
    </w:p>
    <w:p>
      <w:pPr>
        <w:spacing w:after="240"/>
      </w:pPr>
      <w:r>
        <w:rPr>
          <w:b/>
          <w:u w:val="single"/>
        </w:rPr>
        <w:t>Response No. 1:</w:t>
      </w:r>
      <w:r>
        <w:t xml:space="preserve"> The Respondent denies discrimination and retaliation in violation of Title VII or M.G.L. c. 151B. The allegation is conclusory and identifies no admissible facts showing adverse treatment because of protected status or protected activity. Accordingly, this allegation does not establish unlawful discrimination.</w:t>
      </w:r>
    </w:p>
    <w:p>
      <w:r>
        <w:rPr>
          <w:b/>
          <w:u w:val="single"/>
        </w:rPr>
        <w:t>Allegation No. 2:</w:t>
      </w:r>
      <w:r>
        <w:t xml:space="preserve"> On June 16, 2022, I spoke with you regarding events that occurred at the Boston Childrens Hospital on July 5, 2021, to February 4, 2022 I have drafted a summary of the events that you described to me and created a complaint based on those events.</w:t>
      </w:r>
    </w:p>
    <w:p>
      <w:pPr>
        <w:spacing w:after="240"/>
      </w:pPr>
      <w:r>
        <w:rPr>
          <w:b/>
          <w:u w:val="single"/>
        </w:rPr>
        <w:t>Response No. 2:</w:t>
      </w:r>
      <w:r>
        <w:t xml:space="preserve"> The Respondent denies the allegation and notes that the cited communication does not set forth any substantive misconduct by Boston Childrens Hospital. The statement merely references that, on June 16, 2022, a summary of events was drafted based on a discussion concerning alleged events at Boston Childrens Hospital on July 5, 2021, to February 4, 2022, and that a complaint was created based on those events. Standing alone, this communication contains no factual allegation of discriminatory conduct, no identification of any adverse employment action, and no facts establishing any violation of Title VII or M.G.L. c. 151B. No evidence is provided in support of this allegation, and the Respondent denies any wrongdoing.</w:t>
      </w:r>
    </w:p>
    <w:p>
      <w:r>
        <w:rPr>
          <w:b/>
          <w:u w:val="single"/>
        </w:rPr>
        <w:t>Allegation No. 3:</w:t>
      </w:r>
      <w:r>
        <w:t xml:space="preserve"> This is purely procedural correspondence regarding complaint verification and filing requirements. It contains no factual assertion of unlawful conduct by the Respondent and therefore does not support any discrimination finding under Title VII or M.G.L. c. 151B.</w:t>
      </w:r>
    </w:p>
    <w:p>
      <w:pPr>
        <w:spacing w:after="240"/>
      </w:pPr>
      <w:r>
        <w:rPr>
          <w:b/>
          <w:u w:val="single"/>
        </w:rPr>
        <w:t>Response No. 3:</w:t>
      </w:r>
      <w:r>
        <w:t xml:space="preserve"> The Respondent denies that Allegation No. 3 supports any finding of discrimination under Title VII or M.G.L. c. 151B. Allegation No. 3 is purely procedural correspondence regarding complaint verification and filing requirements, and it contains no factual assertion of unlawful conduct by the Respondent. As such, it does not establish any actionable discriminatory conduct, and there is no evidence in the record supporting any contrary conclusion. Accordingly, Allegation No. 3 should be afforded no weight in support of discrimination.</w:t>
      </w:r>
    </w:p>
    <w:p>
      <w:r>
        <w:rPr>
          <w:b/>
          <w:u w:val="single"/>
        </w:rPr>
        <w:t>Allegation No. 4:</w:t>
      </w:r>
      <w:r>
        <w:t xml:space="preserve"> I believe that was treated differently than other employees because of my sexuality throughout my employment. For example, I wore a gay pride band for my watch and when I wore the pride band, fellow employees would treat me without respect and would ignore me. When I would wear a different band for my watch, I would be treated with more respect and my fellow employees would interact with me. In September 2021, Nurse Catherine Knee made up a fake complaint to get another employee, Patrick Stanley terminated because he was gay</w:t>
      </w:r>
    </w:p>
    <w:p>
      <w:pPr>
        <w:spacing w:after="240"/>
      </w:pPr>
      <w:r>
        <w:rPr>
          <w:b/>
          <w:u w:val="single"/>
        </w:rPr>
        <w:t>Response No. 4:</w:t>
      </w:r>
      <w:r>
        <w:t xml:space="preserve"> The Respondent denies any disparate treatment based on sexual orientation. The allegation relies on subjective perceptions and speculative assertions, not facts demonstrating discriminatory intent or a materially adverse employment action, and the reference to another employee, including the assertion that in September 2021, Nurse Catherine Knee made up a fake complaint to get another employee, Patrick Stanley terminated because he was gay, is unsupported by competent evidence. The Respondent further denies that fellow employees treated the Complainant without respect or ignored the Complainant because the Complainant wore a gay pride band for the watch, or that the Complainant was treated with more respect and that fellow employees interacted with the Complainant when a different band for the watch was worn. Accordingly, this allegation does not establish unlawful discrimination.</w:t>
      </w:r>
    </w:p>
    <w:p>
      <w:r>
        <w:rPr>
          <w:b/>
          <w:u w:val="single"/>
        </w:rPr>
        <w:t>Allegation No. 5:</w:t>
      </w:r>
      <w:r>
        <w:t xml:space="preserve"> On October 14, 2021, I was singled out in a staff meeting by Robin Duggan, Kelly Connelly and Don Blundag supervisor, when they made a comment to the effect of some people may not have been discussed the job during the interview I felt this was a retaliation for showing up concerns of discrimination I had happening</w:t>
      </w:r>
    </w:p>
    <w:p>
      <w:pPr>
        <w:spacing w:after="240"/>
      </w:pPr>
      <w:r>
        <w:rPr>
          <w:b/>
          <w:u w:val="single"/>
        </w:rPr>
        <w:t>Response No. 5:</w:t>
      </w:r>
      <w:r>
        <w:t xml:space="preserve"> The Respondent denies retaliation. The statement quoted is facially non-discriminatory and the allegation offers no facts establishing a causal connection to protected activity or any adverse employment action under Title VII or M.G.L. c. 151B. The allegation that, on October 14, 2021, the Complainant was singled out in a staff meeting by Robin Duggan, Kelly Connelly and Don Blundag supervisor, when they made a comment to the effect of some people may not have been discussed the job during the interview, does not identify any protected activity, does not identify any materially adverse employment action, and provides no evidence that the statement was made in retaliation for showing up concerns of discrimination I had happening. Accordingly, this allegation does not establish unlawful retaliation.</w:t>
      </w:r>
    </w:p>
    <w:p>
      <w:r>
        <w:rPr>
          <w:b/>
          <w:u w:val="single"/>
        </w:rPr>
        <w:t>Allegation No. 6:</w:t>
      </w:r>
      <w:r>
        <w:t xml:space="preserve"> On December 15, 2021, Duggan, Connelly and Blundag made similar comments at another staff meeting</w:t>
      </w:r>
    </w:p>
    <w:p>
      <w:pPr>
        <w:spacing w:after="240"/>
      </w:pPr>
      <w:r>
        <w:rPr>
          <w:b/>
          <w:u w:val="single"/>
        </w:rPr>
        <w:t>Response No. 6:</w:t>
      </w:r>
      <w:r>
        <w:t xml:space="preserve"> The Respondent denies that on December 15, 2021, Duggan, Connelly and Blundag made similar comments at another staff meeting for a retaliatory or discriminatory purpose. The allegation is vague, lacks context, and does not identify any adverse action or protected-class animus sufficient to support liability under Title VII or M.G.L. c. 151B. The Respondent further denies that the allegation is supported by competent evidence establishing the content, context, or effect of any such alleged comments.</w:t>
      </w:r>
    </w:p>
    <w:p>
      <w:r>
        <w:rPr>
          <w:b/>
          <w:u w:val="single"/>
        </w:rPr>
        <w:t>Allegation No. 7:</w:t>
      </w:r>
      <w:r>
        <w:t xml:space="preserve"> denies that any similar comments were made for a retaliatory or discriminatory purpose. The allegation is vague, lacks context, and does not identify any adverse action or protected-class animus sufficient to support liability under Title VII or M.G.L. c. 151B.</w:t>
      </w:r>
    </w:p>
    <w:p>
      <w:pPr>
        <w:spacing w:after="240"/>
      </w:pPr>
      <w:r>
        <w:rPr>
          <w:b/>
          <w:u w:val="single"/>
        </w:rPr>
        <w:t>Response No. 7:</w:t>
      </w:r>
      <w:r>
        <w:t xml:space="preserve"> The Respondent denies that any similar comments were made for a retaliatory or discriminatory purpose. The allegation is vague, lacks context, and does not identify any adverse action or protected-class animus sufficient to support liability under Title VII or M.G.L. c. 151B. Accordingly, the Respondent denies the allegation in its entirety. Standard legal principles apply.</w:t>
      </w:r>
    </w:p>
    <w:p>
      <w:r>
        <w:rPr>
          <w:b/>
          <w:u w:val="single"/>
        </w:rPr>
        <w:t>Allegation No. 8:</w:t>
      </w:r>
      <w:r>
        <w:t xml:space="preserve"> In December of 2021, Robin Duggan, Clinical Coordinator, began denying my time off request but would approve time off request for employees who identified as straight</w:t>
      </w:r>
    </w:p>
    <w:p>
      <w:pPr>
        <w:spacing w:after="240"/>
      </w:pPr>
      <w:r>
        <w:rPr>
          <w:b/>
          <w:u w:val="single"/>
        </w:rPr>
        <w:t>Response No. 8:</w:t>
      </w:r>
      <w:r>
        <w:t xml:space="preserve"> The Respondent denies that, in December of 2021, Robin Duggan, Clinical Coordinator, began denying the Complainant’s time off request but would approve time off request for employees who identified as straight. Time-off request submissions and approvals/denials are governed by scheduling records and neutral business reasons, and not by sexual orientation. The allegation is conclusory and unsupported by specific comparator facts, legitimate scheduling criteria, or evidence of discriminatory motive under Title VII or M.G.L. c. 151B. Accordingly, this allegation does not establish unlawful discrimination.</w:t>
      </w:r>
    </w:p>
    <w:p>
      <w:r>
        <w:rPr>
          <w:b/>
          <w:u w:val="single"/>
        </w:rPr>
        <w:t>Allegation No. 9:</w:t>
      </w:r>
      <w:r>
        <w:t xml:space="preserve"> In January 2022, I had a meeting with Kelly Connolly, my direct supervisor and Duggan to make them aware that I was concerned about the discrimination that was going on in my unit I notified them that I felt discriminated against and also made them aware of times I felt other employees had discriminated against patients based on national origin or religion For example, Nurse Phillips LUN said to me that I thought him one UT, who was was pacing around the waiting room waiting for child to return from surgery said we should put the mother in a  shitty spot because she wont sit anyways</w:t>
      </w:r>
    </w:p>
    <w:p>
      <w:pPr>
        <w:spacing w:after="240"/>
      </w:pPr>
      <w:r>
        <w:rPr>
          <w:b/>
          <w:u w:val="single"/>
        </w:rPr>
        <w:t>Response No. 9:</w:t>
      </w:r>
      <w:r>
        <w:t xml:space="preserve"> The Respondent denies any failure to respond to protected complaints or any retaliatory conduct. Meeting notes and emails concerning complaint reporting, investigation documentation, and HR records reflect that concerns were addressed through the ordinary reporting and review process. The allegation is confused and internally unclear, and it does not identify facts showing unlawful motive, adverse action, or a nexus between reported concerns and subsequent employment action under Title VII or M.G.L. c. 151B. To the extent the allegation refers to a January 2022 meeting with Kelly Connolly, my direct supervisor and Duggan, the Respondent denies that the record establishes any discriminatory conduct, and there is no competent evidence substantiating the quoted remark attributed to Nurse Phillips LUN or any claim that patients were treated differently based on national origin or religion. Standard legal principles apply.</w:t>
      </w:r>
    </w:p>
    <w:p>
      <w:r>
        <w:rPr>
          <w:b/>
          <w:u w:val="single"/>
        </w:rPr>
        <w:t>Allegation No. 10:</w:t>
      </w:r>
      <w:r>
        <w:t xml:space="preserve"> records to employee concerns  Corrective action or follow-up documentation, if any,The Respondents alleged failure to adopt the Charging Partys preferred course of action does not constitute discrimination or retaliation. The allegation shows, at most, dissatisfaction with management response and does not establish a violation of Title VII or M.G.L. c. 151B.</w:t>
      </w:r>
    </w:p>
    <w:p>
      <w:pPr>
        <w:spacing w:after="240"/>
      </w:pPr>
      <w:r>
        <w:rPr>
          <w:b/>
          <w:u w:val="single"/>
        </w:rPr>
        <w:t>Response No. 10:</w:t>
      </w:r>
      <w:r>
        <w:t xml:space="preserve"> The Respondents deny Allegation No. 10. The Respondents alleged failure to adopt the Charging Partys preferred course of action does not constitute discrimination or retaliation. The allegation shows, at most, dissatisfaction with management response and does not establish a violation of Title VII or M.G.L. c. 151B. The Respondents are not aware of any competent evidence that any corrective action or follow-up documentation, if any, reflected discriminatory animus or retaliatory intent.</w:t>
      </w:r>
    </w:p>
    <w:p>
      <w:r>
        <w:rPr>
          <w:b/>
          <w:u w:val="single"/>
        </w:rPr>
        <w:t>Allegation No. 11:</w:t>
      </w:r>
      <w:r>
        <w:t xml:space="preserve"> On February 4, 2022, I resigned without notice because I felt uncomfortable due to the comments made and the treatment of employees as</w:t>
      </w:r>
    </w:p>
    <w:p>
      <w:pPr>
        <w:spacing w:after="240"/>
      </w:pPr>
      <w:r>
        <w:rPr>
          <w:b/>
          <w:u w:val="single"/>
        </w:rPr>
        <w:t>Response No. 11:</w:t>
      </w:r>
      <w:r>
        <w:t xml:space="preserve"> The Respondent denies Allegation No. 11. The Respondent denies that, on February 4, 2022, the Respondent resigned without notice because the Respondent felt uncomfortable due to the comments made and the treatment of employees. The Respondent further denies that the comments made and the treatment of employees were such as to cause the Respondent to resign without notice. The Respondent is without sufficient knowledge or information to admit the truth of the remaining allegations and therefore denies the same. The Respondent further states that Allegation No. 11 is unsupported by competent evidence and is denied in its entirety.</w:t>
      </w:r>
    </w:p>
    <w:p>
      <w:pPr>
        <w:spacing w:before="480"/>
        <w:jc w:val="center"/>
      </w:pPr>
      <w:r>
        <w:rPr>
          <w:b/>
        </w:rPr>
        <w:t>IV.</w:t>
      </w:r>
    </w:p>
    <w:p>
      <w:pPr>
        <w:spacing w:after="240"/>
        <w:jc w:val="center"/>
      </w:pPr>
      <w:r>
        <w:rPr>
          <w:b/>
        </w:rPr>
        <w:t>LEGAL ANALYSIS</w:t>
      </w:r>
    </w:p>
    <w:p>
      <w:pPr>
        <w:spacing w:after="200"/>
      </w:pPr>
      <w:r>
        <w:t>IV. Legal Analysis</w:t>
        <w:br/>
        <w:br/>
        <w:t>Based on the allegations addressed, the complaint appears to assert claims arising from an employment or professional relationship with Boston Children’s Hospital, including theories sounding in discrimination, retaliation, wrongful discipline or termination, hostile treatment, and related state-law claims. To state a viable claim, the plaintiff must plead facts showing not just adverse treatment, but a legally protected status or activity, a materially adverse action, and a causal connection between the two. Conclusory assertions, disagreement with management decisions, or generalized unfairness are not enough.</w:t>
        <w:br/>
        <w:br/>
        <w:t>To the extent the claims are premised on discrimination, the complaint must identify the protected characteristic at issue, the specific acts allegedly motivated by discriminatory animus, and facts supporting an inference that similarly situated individuals were treated more favorably. If the allegations are instead grounded in retaliation, the complaint must allege protected activity, employer awareness, and a materially adverse response. The mere chronology of events is usually insufficient absent additional facts showing retaliatory motive.</w:t>
        <w:br/>
        <w:br/>
        <w:t>If plaintiff seeks relief for hostile work environment, the alleged conduct must be sufficiently severe or pervasive to alter the conditions of employment and create an abusive environment. Isolated incidents, ordinary workplace disputes, performance critiques, or administrative decisions generally do not meet that standard. Likewise, claims predicated on negligent supervision, emotional distress, defamation, or similar state-law theories require well-pleaded facts establishing duty, breach, causation, damages, and, where applicable, malice or publication.</w:t>
        <w:br/>
        <w:br/>
        <w:t>The allegations, as presented, are also vulnerable to challenge for lack of specificity. Many of the asserted wrongs appear to rely on broad accusations without identifying who made the statements, when they were made, what policies were violated, how plaintiff was harmed, or how Boston Children’s Hospital was legally responsible. Such pleading defects are significant because the defendant is entitled to fair notice of the basis of each claim.</w:t>
        <w:br/>
        <w:br/>
        <w:t>In addition, any claims under statutes requiring administrative exhaustion, timely filing, or notice prerequisites may be subject to dismissal if the complaint does not allege compliance with those conditions. If the claims implicate protected medical, personnel, or peer-review material, there may also be confidentiality, privilege, or statutory immunity issues that further narrow the actionable allegations.</w:t>
        <w:br/>
        <w:br/>
        <w:t>On the present record, the complaint’s allegations, even if accepted as true, appear insufficient to establish a complete and plausible entitlement to relief on the theories typically asserted against an institutional employer such as Boston Children’s Hospital. The defendant therefore has substantial grounds to seek dismissal in whole or in part, or alternatively a more definite statement.</w:t>
        <w:br/>
        <w:br/>
        <w:t>V. Affirmative Defenses</w:t>
        <w:br/>
        <w:br/>
        <w:t>1. Failure to state a claim upon which relief can be granted.</w:t>
        <w:br/>
        <w:t>2. Lack of subject-matter jurisdiction, to the extent any claim is not within the court’s authority.</w:t>
        <w:br/>
        <w:t>3. Failure to exhaust administrative remedies, where required by statute.</w:t>
        <w:br/>
        <w:t>4. Untimeliness, including expiration of any applicable statute of limitations or filing deadline.</w:t>
        <w:br/>
        <w:t>5. Failure to plead facts sufficient to show protected status, protected activity, or discriminatory intent.</w:t>
        <w:br/>
        <w:t>6. Failure to plead facts sufficient to show a materially adverse employment action or causal connection.</w:t>
        <w:br/>
        <w:t>7. Legitimate, non-discriminatory, and non-retaliatory reasons for all challenged actions.</w:t>
        <w:br/>
        <w:t>8. Good-faith reliance on policies, procedures, performance concerns, and institutional obligations.</w:t>
        <w:br/>
        <w:t>9. Failure to mitigate damages.</w:t>
        <w:br/>
        <w:t>10. Comparative fault and/or intervening causes, to the extent applicable.</w:t>
        <w:br/>
        <w:t>11. Qualified or statutory immunity, to the extent any defendant or claim is covered.</w:t>
        <w:br/>
        <w:t>12. Privilege, confidentiality, or statutory protection regarding internal communications, peer review, medical, or personnel materials.</w:t>
        <w:br/>
        <w:t>13. Waiver, estoppel, and laches.</w:t>
        <w:br/>
        <w:t>14. Lack of standing, to the extent plaintiff seeks relief for injuries not personal to him.</w:t>
        <w:br/>
        <w:t>15. No punitive damages absent the requisite legal standard and proof.</w:t>
        <w:br/>
        <w:t>16. Failure to join indispensable parties, if any claim depends on the acts of other actors not named.</w:t>
        <w:br/>
        <w:t>17. Reservation of the right to assert additional defenses as discovery proceeds.</w:t>
        <w:br/>
        <w:br/>
        <w:t>VI. Conclusion</w:t>
        <w:br/>
        <w:br/>
        <w:t>For the foregoing reasons, Boston Children’s Hospital has strong grounds to challenge the complaint’s sufficiency, causation allegations, and legal viability. The asserted claims, as currently framed, appear to rest largely on conclusory statements and disputed workplace decisions rather than facts establishing actionable wrongdoing. Accordingly, the Hospital should move to dismiss, or in the alternative seek a more definite statement, and preserve all available affirmative defenses.</w:t>
      </w:r>
    </w:p>
    <w:p>
      <w:pPr>
        <w:spacing w:before="480"/>
        <w:jc w:val="center"/>
      </w:pPr>
      <w:r>
        <w:rPr>
          <w:b/>
        </w:rPr>
        <w:t>V.</w:t>
      </w:r>
    </w:p>
    <w:p>
      <w:pPr>
        <w:spacing w:after="240"/>
        <w:jc w:val="center"/>
      </w:pPr>
      <w:r>
        <w:rPr>
          <w:b/>
        </w:rPr>
        <w:t>AFFIRMATIVE DEFENSES</w:t>
      </w:r>
    </w:p>
    <w:p>
      <w:pPr>
        <w:spacing w:after="200"/>
      </w:pPr>
      <w:r>
        <w:t>Failure to state a claim upon which relief can be granted.</w:t>
      </w:r>
    </w:p>
    <w:p>
      <w:pPr>
        <w:spacing w:after="200"/>
      </w:pPr>
      <w:r>
        <w:t>Lack of subject-matter jurisdiction, to the extent any claim is not within the court’s authority.</w:t>
      </w:r>
    </w:p>
    <w:p>
      <w:pPr>
        <w:spacing w:after="200"/>
      </w:pPr>
      <w:r>
        <w:t>Failure to exhaust administrative remedies, where required by statute.</w:t>
      </w:r>
    </w:p>
    <w:p>
      <w:pPr>
        <w:spacing w:after="200"/>
      </w:pPr>
      <w:r>
        <w:t>Untimeliness, including expiration of any applicable statute of limitations or filing deadline.</w:t>
      </w:r>
    </w:p>
    <w:p>
      <w:pPr>
        <w:spacing w:after="200"/>
      </w:pPr>
      <w:r>
        <w:t>Failure to plead facts sufficient to show protected status, protected activity, or discriminatory intent.</w:t>
      </w:r>
    </w:p>
    <w:p>
      <w:pPr>
        <w:spacing w:after="200"/>
      </w:pPr>
      <w:r>
        <w:t>Failure to plead facts sufficient to show a materially adverse employment action or causal connection.</w:t>
      </w:r>
    </w:p>
    <w:p>
      <w:pPr>
        <w:spacing w:after="200"/>
      </w:pPr>
      <w:r>
        <w:t>Legitimate, non-discriminatory, and non-retaliatory reasons for all challenged actions.</w:t>
      </w:r>
    </w:p>
    <w:p>
      <w:pPr>
        <w:spacing w:after="200"/>
      </w:pPr>
      <w:r>
        <w:t>Good-faith reliance on policies, procedures, performance concerns, and institutional obligations.</w:t>
      </w:r>
    </w:p>
    <w:p>
      <w:pPr>
        <w:spacing w:after="200"/>
      </w:pPr>
      <w:r>
        <w:t>Failure to mitigate damages.</w:t>
      </w:r>
    </w:p>
    <w:p>
      <w:pPr>
        <w:spacing w:after="200"/>
      </w:pPr>
      <w:r>
        <w:t>Comparative fault and/or intervening causes, to the extent applicable.</w:t>
      </w:r>
    </w:p>
    <w:p>
      <w:pPr>
        <w:spacing w:after="200"/>
      </w:pPr>
      <w:r>
        <w:t>Qualified or statutory immunity, to the extent any defendant or claim is covered.</w:t>
      </w:r>
    </w:p>
    <w:p>
      <w:pPr>
        <w:spacing w:after="200"/>
      </w:pPr>
      <w:r>
        <w:t>Privilege, confidentiality, or statutory protection regarding internal communications, peer review, medical, or personnel materials.</w:t>
      </w:r>
    </w:p>
    <w:p>
      <w:pPr>
        <w:spacing w:after="200"/>
      </w:pPr>
      <w:r>
        <w:t>Waiver, estoppel, and laches.</w:t>
      </w:r>
    </w:p>
    <w:p>
      <w:pPr>
        <w:spacing w:after="200"/>
      </w:pPr>
      <w:r>
        <w:t>Lack of standing, to the extent plaintiff seeks relief for injuries not personal to him.</w:t>
      </w:r>
    </w:p>
    <w:p>
      <w:pPr>
        <w:spacing w:after="200"/>
      </w:pPr>
      <w:r>
        <w:t>No punitive damages absent the requisite legal standard and proof.</w:t>
      </w:r>
    </w:p>
    <w:p>
      <w:pPr>
        <w:spacing w:after="200"/>
      </w:pPr>
      <w:r>
        <w:t>Failure to join indispensable parties, if any claim depends on the acts of other actors not named.</w:t>
      </w:r>
    </w:p>
    <w:p>
      <w:pPr>
        <w:spacing w:after="200"/>
      </w:pPr>
      <w:r>
        <w:t>Reservation of the right to assert additional defenses as discovery proceeds.</w:t>
      </w:r>
    </w:p>
    <w:p>
      <w:pPr>
        <w:spacing w:before="480"/>
        <w:jc w:val="center"/>
      </w:pPr>
      <w:r>
        <w:rPr>
          <w:b/>
        </w:rPr>
        <w:t>VI.</w:t>
      </w:r>
    </w:p>
    <w:p>
      <w:pPr>
        <w:spacing w:after="240"/>
        <w:jc w:val="center"/>
      </w:pPr>
      <w:r>
        <w:rPr>
          <w:b/>
        </w:rPr>
        <w:t>CONCLUSION</w:t>
      </w:r>
    </w:p>
    <w:p>
      <w:pPr>
        <w:spacing w:after="200"/>
      </w:pPr>
      <w:r>
        <w:t>For the foregoing reasons, Boston Children’s Hospital has strong grounds to challenge the complaint’s sufficiency, causation allegations, and legal viability. The asserted claims, as currently framed, appear to rest largely on conclusory statements and disputed workplace decisions rather than facts establishing actionable wrongdoing. Accordingly, the Hospital should move to dismiss, or in the alternative seek a more definite statement, and preserve all available affirmative defenses.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