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4C34" w:color="auto" w:val="clear"/>
            <w:tcMar>
              <w:top w:type="dxa" w:w="90"/>
              <w:left w:type="dxa" w:w="140"/>
              <w:bottom w:type="dxa" w:w="90"/>
              <w:right w:type="dxa" w:w="40"/>
            </w:tcMar>
            <w:vAlign w:val="center"/>
          </w:tcPr>
          <w:p>
            <w:pPr>
              <w:spacing w:after="0" w:before="0" w:line="620" w:lineRule="atLeast"/>
            </w:pPr>
            <w:r>
              <w:drawing>
                <wp:inline distT="0" distB="0" distL="0" distR="0">
                  <wp:extent cx="51435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4C34" w:color="auto" w:val="clear"/>
            <w:tcMar>
              <w:top w:type="dxa" w:w="90"/>
              <w:left w:type="dxa" w:w="60"/>
              <w:bottom w:type="dxa" w:w="90"/>
              <w:right w:type="dxa" w:w="160"/>
            </w:tcMar>
            <w:vAlign w:val="center"/>
          </w:tcPr>
          <w:p>
            <w:pPr>
              <w:spacing w:after="40" w:before="0" w:line="350" w:lineRule="atLeast"/>
            </w:pPr>
            <w:r>
              <w:rPr>
                <w:rFonts w:ascii="Segoe UI Semibold" w:cs="Segoe UI Semibold" w:eastAsia="Segoe UI Semibold" w:hAnsi="Segoe UI Semibold"/>
                <w:b/>
                <w:bCs/>
                <w:i w:val="false"/>
                <w:iCs w:val="false"/>
                <w:caps w:val="false"/>
                <w:color w:val="FFFFFF"/>
                <w:sz w:val="34"/>
                <w:szCs w:val="34"/>
              </w:rPr>
              <w:t xml:space="preserve">Whhoohh Path HRMS</w:t>
            </w:r>
          </w:p>
          <w:p>
            <w:pPr>
              <w:spacing w:after="0" w:before="0" w:line="200" w:lineRule="atLeas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BFD8CC"/>
                <w:sz w:val="19"/>
                <w:szCs w:val="19"/>
              </w:rPr>
              <w:t xml:space="preserve">Biometric attendance · payroll · leave · people · projects — phone and web</w:t>
            </w:r>
          </w:p>
        </w:tc>
      </w:tr>
    </w:tbl>
    <w:p>
      <w:pPr>
        <w:spacing w:after="150" w:before="0"/>
      </w:pPr>
    </w:p>
    <w:p>
      <w:pPr>
        <w:keepNext w:val="false"/>
        <w:spacing w:after="170" w:before="60" w:line="230" w:lineRule="atLeast"/>
        <w:jc w:val="left"/>
      </w:pPr>
      <w:r>
        <w:rPr>
          <w:rFonts w:ascii="Segoe UI Semibold" w:cs="Segoe UI Semibold" w:eastAsia="Segoe UI Semibold" w:hAnsi="Segoe UI Semibold"/>
          <w:b/>
          <w:bCs/>
          <w:i w:val="false"/>
          <w:iCs w:val="false"/>
          <w:caps w:val="false"/>
          <w:color w:val="0A3524"/>
          <w:sz w:val="19"/>
          <w:szCs w:val="19"/>
        </w:rPr>
        <w:t xml:space="preserve">What it does.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17"/>
          <w:szCs w:val="17"/>
        </w:rPr>
        <w:t xml:space="preserve">Whhoohh Path HRMS runs the whole people operation of a company — from the day somebody is hired to the day they leave. Employees check in with a fingerprint, apply for leave, read payslips and work their tasks from a phone. HR runs payroll, issues letters and reads the reports. The founder sees the company. It is sold by subscription: one deployment serves many companies, and no company's data is ever reachable from another.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31"/>
        <w:gridCol w:w="140"/>
        <w:gridCol w:w="2331"/>
        <w:gridCol w:w="140"/>
        <w:gridCol w:w="2331"/>
        <w:gridCol w:w="140"/>
        <w:gridCol w:w="2333"/>
      </w:tblGrid>
      <w:tr>
        <w:trPr>
          <w:cantSplit/>
        </w:trPr>
        <w:tc>
          <w:tcPr>
            <w:tcW w:type="dxa" w:w="2331"/>
            <w:tcBorders>
              <w:top w:val="none" w:color="FFFFFF" w:sz="0"/>
              <w:left w:val="single" w:color="0F4C34" w:sz="18"/>
              <w:bottom w:val="none" w:color="FFFFFF" w:sz="0"/>
              <w:right w:val="none" w:color="FFFFFF" w:sz="0"/>
            </w:tcBorders>
            <w:shd w:fill="E8F1ED" w:color="auto" w:val="clear"/>
            <w:tcMar>
              <w:top w:type="dxa" w:w="90"/>
              <w:left w:type="dxa" w:w="120"/>
              <w:bottom w:type="dxa" w:w="90"/>
              <w:right w:type="dxa" w:w="100"/>
            </w:tcMar>
            <w:vAlign w:val="top"/>
          </w:tcPr>
          <w:p>
            <w:pPr>
              <w:spacing w:after="40" w:before="0" w:line="215" w:lineRule="atLeast"/>
            </w:pPr>
            <w:r>
              <w:drawing>
                <wp:inline distT="0" distB="0" distL="0" distR="0">
                  <wp:extent cx="123825" cy="123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9"/>
                <w:szCs w:val="19"/>
              </w:rPr>
              <w:t xml:space="preserve">  </w:t>
            </w:r>
            <w:r>
              <w:rPr>
                <w:rFonts w:ascii="Segoe UI Semibold" w:cs="Segoe UI Semibold" w:eastAsia="Segoe UI Semibold" w:hAnsi="Segoe UI Semibold"/>
                <w:b/>
                <w:bCs/>
                <w:i w:val="false"/>
                <w:iCs w:val="false"/>
                <w:caps w:val="false"/>
                <w:color w:val="0A3524"/>
                <w:sz w:val="19"/>
                <w:szCs w:val="19"/>
              </w:rPr>
              <w:t xml:space="preserve">Attendance you can prove</w:t>
            </w:r>
          </w:p>
          <w:p>
            <w:pPr>
              <w:spacing w:after="0" w:before="0" w:line="195" w:lineRule="atLeas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475569"/>
                <w:sz w:val="15"/>
                <w:szCs w:val="15"/>
              </w:rPr>
              <w:t xml:space="preserve">Fingerprint or face, verified by the server — not a yes/no the app reports about itself.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4"/>
                <w:szCs w:val="4"/>
              </w:rPr>
              <w:t xml:space="preserve"> </w:t>
            </w:r>
          </w:p>
        </w:tc>
        <w:tc>
          <w:tcPr>
            <w:tcW w:type="dxa" w:w="2331"/>
            <w:tcBorders>
              <w:top w:val="none" w:color="FFFFFF" w:sz="0"/>
              <w:left w:val="single" w:color="0F4C34" w:sz="18"/>
              <w:bottom w:val="none" w:color="FFFFFF" w:sz="0"/>
              <w:right w:val="none" w:color="FFFFFF" w:sz="0"/>
            </w:tcBorders>
            <w:shd w:fill="E8F1ED" w:color="auto" w:val="clear"/>
            <w:tcMar>
              <w:top w:type="dxa" w:w="90"/>
              <w:left w:type="dxa" w:w="120"/>
              <w:bottom w:type="dxa" w:w="90"/>
              <w:right w:type="dxa" w:w="100"/>
            </w:tcMar>
            <w:vAlign w:val="top"/>
          </w:tcPr>
          <w:p>
            <w:pPr>
              <w:spacing w:after="40" w:before="0" w:line="215" w:lineRule="atLeast"/>
            </w:pPr>
            <w:r>
              <w:drawing>
                <wp:inline distT="0" distB="0" distL="0" distR="0">
                  <wp:extent cx="123825" cy="123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9"/>
                <w:szCs w:val="19"/>
              </w:rPr>
              <w:t xml:space="preserve">  </w:t>
            </w:r>
            <w:r>
              <w:rPr>
                <w:rFonts w:ascii="Segoe UI Semibold" w:cs="Segoe UI Semibold" w:eastAsia="Segoe UI Semibold" w:hAnsi="Segoe UI Semibold"/>
                <w:b/>
                <w:bCs/>
                <w:i w:val="false"/>
                <w:iCs w:val="false"/>
                <w:caps w:val="false"/>
                <w:color w:val="0A3524"/>
                <w:sz w:val="19"/>
                <w:szCs w:val="19"/>
              </w:rPr>
              <w:t xml:space="preserve">The whole HR operation</w:t>
            </w:r>
          </w:p>
          <w:p>
            <w:pPr>
              <w:spacing w:after="0" w:before="0" w:line="195" w:lineRule="atLeas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475569"/>
                <w:sz w:val="15"/>
                <w:szCs w:val="15"/>
              </w:rPr>
              <w:t xml:space="preserve">People, leave, payroll, projects, assets, letters and reports in one system.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4"/>
                <w:szCs w:val="4"/>
              </w:rPr>
              <w:t xml:space="preserve"> </w:t>
            </w:r>
          </w:p>
        </w:tc>
        <w:tc>
          <w:tcPr>
            <w:tcW w:type="dxa" w:w="2331"/>
            <w:tcBorders>
              <w:top w:val="none" w:color="FFFFFF" w:sz="0"/>
              <w:left w:val="single" w:color="0F4C34" w:sz="18"/>
              <w:bottom w:val="none" w:color="FFFFFF" w:sz="0"/>
              <w:right w:val="none" w:color="FFFFFF" w:sz="0"/>
            </w:tcBorders>
            <w:shd w:fill="E8F1ED" w:color="auto" w:val="clear"/>
            <w:tcMar>
              <w:top w:type="dxa" w:w="90"/>
              <w:left w:type="dxa" w:w="120"/>
              <w:bottom w:type="dxa" w:w="90"/>
              <w:right w:type="dxa" w:w="100"/>
            </w:tcMar>
            <w:vAlign w:val="top"/>
          </w:tcPr>
          <w:p>
            <w:pPr>
              <w:spacing w:after="40" w:before="0" w:line="215" w:lineRule="atLeast"/>
            </w:pPr>
            <w:r>
              <w:drawing>
                <wp:inline distT="0" distB="0" distL="0" distR="0">
                  <wp:extent cx="123825" cy="123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9"/>
                <w:szCs w:val="19"/>
              </w:rPr>
              <w:t xml:space="preserve">  </w:t>
            </w:r>
            <w:r>
              <w:rPr>
                <w:rFonts w:ascii="Segoe UI Semibold" w:cs="Segoe UI Semibold" w:eastAsia="Segoe UI Semibold" w:hAnsi="Segoe UI Semibold"/>
                <w:b/>
                <w:bCs/>
                <w:i w:val="false"/>
                <w:iCs w:val="false"/>
                <w:caps w:val="false"/>
                <w:color w:val="0A3524"/>
                <w:sz w:val="19"/>
                <w:szCs w:val="19"/>
              </w:rPr>
              <w:t xml:space="preserve">Phone and web, one account</w:t>
            </w:r>
          </w:p>
          <w:p>
            <w:pPr>
              <w:spacing w:after="0" w:before="0" w:line="195" w:lineRule="atLeas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475569"/>
                <w:sz w:val="15"/>
                <w:szCs w:val="15"/>
              </w:rPr>
              <w:t xml:space="preserve">Native app for daily work; the full portal carried inside it, already signed in.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4"/>
                <w:szCs w:val="4"/>
              </w:rPr>
              <w:t xml:space="preserve"> </w:t>
            </w:r>
          </w:p>
        </w:tc>
        <w:tc>
          <w:tcPr>
            <w:tcW w:type="dxa" w:w="2333"/>
            <w:tcBorders>
              <w:top w:val="none" w:color="FFFFFF" w:sz="0"/>
              <w:left w:val="single" w:color="0F4C34" w:sz="18"/>
              <w:bottom w:val="none" w:color="FFFFFF" w:sz="0"/>
              <w:right w:val="none" w:color="FFFFFF" w:sz="0"/>
            </w:tcBorders>
            <w:shd w:fill="E8F1ED" w:color="auto" w:val="clear"/>
            <w:tcMar>
              <w:top w:type="dxa" w:w="90"/>
              <w:left w:type="dxa" w:w="120"/>
              <w:bottom w:type="dxa" w:w="90"/>
              <w:right w:type="dxa" w:w="100"/>
            </w:tcMar>
            <w:vAlign w:val="top"/>
          </w:tcPr>
          <w:p>
            <w:pPr>
              <w:spacing w:after="40" w:before="0" w:line="215" w:lineRule="atLeast"/>
            </w:pPr>
            <w:r>
              <w:drawing>
                <wp:inline distT="0" distB="0" distL="0" distR="0">
                  <wp:extent cx="123825" cy="123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9"/>
                <w:szCs w:val="19"/>
              </w:rPr>
              <w:t xml:space="preserve">  </w:t>
            </w:r>
            <w:r>
              <w:rPr>
                <w:rFonts w:ascii="Segoe UI Semibold" w:cs="Segoe UI Semibold" w:eastAsia="Segoe UI Semibold" w:hAnsi="Segoe UI Semibold"/>
                <w:b/>
                <w:bCs/>
                <w:i w:val="false"/>
                <w:iCs w:val="false"/>
                <w:caps w:val="false"/>
                <w:color w:val="0A3524"/>
                <w:sz w:val="19"/>
                <w:szCs w:val="19"/>
              </w:rPr>
              <w:t xml:space="preserve">Built for many companies</w:t>
            </w:r>
          </w:p>
          <w:p>
            <w:pPr>
              <w:spacing w:after="0" w:before="0" w:line="195" w:lineRule="atLeas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475569"/>
                <w:sz w:val="15"/>
                <w:szCs w:val="15"/>
              </w:rPr>
              <w:t xml:space="preserve">One deployment, any number of tenants, and no row ever crosses between them.</w:t>
            </w:r>
          </w:p>
        </w:tc>
      </w:tr>
    </w:tbl>
    <w:p>
      <w:pPr>
        <w:spacing w:after="175" w:before="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22"/>
        <w:gridCol w:w="190"/>
        <w:gridCol w:w="3122"/>
        <w:gridCol w:w="190"/>
        <w:gridCol w:w="3122"/>
      </w:tblGrid>
      <w:tr>
        <w:tc>
          <w:tcPr>
            <w:tcW w:type="dxa" w:w="31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pBdr>
                <w:bottom w:val="single" w:color="6366F1" w:sz="8"/>
              </w:pBdr>
              <w:spacing w:after="46" w:before="0" w:line="215" w:lineRule="atLeast"/>
            </w:pP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9"/>
                <w:szCs w:val="19"/>
              </w:rPr>
              <w:t xml:space="preserve">  </w:t>
            </w:r>
            <w:r>
              <w:rPr>
                <w:rFonts w:ascii="Segoe UI Semibold" w:cs="Segoe UI Semibold" w:eastAsia="Segoe UI Semibold" w:hAnsi="Segoe UI Semibold"/>
                <w:b/>
                <w:bCs/>
                <w:i w:val="false"/>
                <w:iCs w:val="false"/>
                <w:caps/>
                <w:color w:val="0A3524"/>
                <w:spacing w:val="20"/>
                <w:sz w:val="16"/>
                <w:szCs w:val="16"/>
              </w:rPr>
              <w:t xml:space="preserve">People &amp; records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6366F1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Employee directory — designation, department, reporting manager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6366F1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Full record: personal, contact, statutory and employment fields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6366F1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Employee codes generated automatically, never typed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6366F1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Departments, designations and grades defined per company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6366F1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Reporting hierarchy, and who reports to whom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6366F1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Recruitment: candidates, interviews, outcomes, offer to joining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6366F1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Joiner set-up in one operation — record, login and leave balances</w:t>
            </w:r>
          </w:p>
          <w:p>
            <w:pPr>
              <w:spacing w:after="150" w:before="0"/>
            </w:pPr>
          </w:p>
          <w:p>
            <w:pPr>
              <w:keepNext/>
              <w:pBdr>
                <w:bottom w:val="single" w:color="0284C7" w:sz="8"/>
              </w:pBdr>
              <w:spacing w:after="46" w:before="0" w:line="215" w:lineRule="atLeast"/>
            </w:pP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9"/>
                <w:szCs w:val="19"/>
              </w:rPr>
              <w:t xml:space="preserve">  </w:t>
            </w:r>
            <w:r>
              <w:rPr>
                <w:rFonts w:ascii="Segoe UI Semibold" w:cs="Segoe UI Semibold" w:eastAsia="Segoe UI Semibold" w:hAnsi="Segoe UI Semibold"/>
                <w:b/>
                <w:bCs/>
                <w:i w:val="false"/>
                <w:iCs w:val="false"/>
                <w:caps/>
                <w:color w:val="0A3524"/>
                <w:spacing w:val="20"/>
                <w:sz w:val="16"/>
                <w:szCs w:val="16"/>
              </w:rPr>
              <w:t xml:space="preserve">Attendance &amp; time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0284C7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Biometric check-in and check-out from the phone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0284C7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Selfie and GPS login place captured with each punch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0284C7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Signature verified against a key enrolled on that handset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0284C7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Daily record: in, out, hours worked, status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0284C7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Own history for everyone; the whole company for HR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0284C7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Exceptions corrected by HR, never by the employee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0284C7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Company calendar — holidays, events and personal schedule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0284C7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Live presence: who is reachable right now</w:t>
            </w:r>
          </w:p>
          <w:p>
            <w:pPr>
              <w:spacing w:after="150" w:before="0"/>
            </w:pPr>
          </w:p>
          <w:p>
            <w:pPr>
              <w:keepNext/>
              <w:pBdr>
                <w:bottom w:val="single" w:color="F59E0B" w:sz="8"/>
              </w:pBdr>
              <w:spacing w:after="46" w:before="0" w:line="215" w:lineRule="atLeast"/>
            </w:pP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9"/>
                <w:szCs w:val="19"/>
              </w:rPr>
              <w:t xml:space="preserve">  </w:t>
            </w:r>
            <w:r>
              <w:rPr>
                <w:rFonts w:ascii="Segoe UI Semibold" w:cs="Segoe UI Semibold" w:eastAsia="Segoe UI Semibold" w:hAnsi="Segoe UI Semibold"/>
                <w:b/>
                <w:bCs/>
                <w:i w:val="false"/>
                <w:iCs w:val="false"/>
                <w:caps/>
                <w:color w:val="0A3524"/>
                <w:spacing w:val="20"/>
                <w:sz w:val="16"/>
                <w:szCs w:val="16"/>
              </w:rPr>
              <w:t xml:space="preserve">Leave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F59E0B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Leave types and entitlements set per company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F59E0B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Apply from the phone in under a minute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F59E0B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Balance and dates checked at submission, not afterwards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F59E0B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Approve or reject — a rejection must carry a written reason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F59E0B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Balance adjusted in the same transaction as the decision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F59E0B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Decision emailed, and readable in the same row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F59E0B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Leave shown on the calendar alongside holidays</w:t>
            </w:r>
          </w:p>
        </w:tc>
        <w:tc>
          <w:tcPr>
            <w:tcW w:type="dxa" w:w="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4"/>
                <w:szCs w:val="4"/>
              </w:rPr>
              <w:t xml:space="preserve"> </w:t>
            </w:r>
          </w:p>
        </w:tc>
        <w:tc>
          <w:tcPr>
            <w:tcW w:type="dxa" w:w="31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pBdr>
                <w:bottom w:val="single" w:color="16A34A" w:sz="8"/>
              </w:pBdr>
              <w:spacing w:after="46" w:before="0" w:line="215" w:lineRule="atLeast"/>
            </w:pP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9"/>
                <w:szCs w:val="19"/>
              </w:rPr>
              <w:t xml:space="preserve">  </w:t>
            </w:r>
            <w:r>
              <w:rPr>
                <w:rFonts w:ascii="Segoe UI Semibold" w:cs="Segoe UI Semibold" w:eastAsia="Segoe UI Semibold" w:hAnsi="Segoe UI Semibold"/>
                <w:b/>
                <w:bCs/>
                <w:i w:val="false"/>
                <w:iCs w:val="false"/>
                <w:caps/>
                <w:color w:val="0A3524"/>
                <w:spacing w:val="20"/>
                <w:sz w:val="16"/>
                <w:szCs w:val="16"/>
              </w:rPr>
              <w:t xml:space="preserve">Payroll &amp; finance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6A34A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Salary structure held per employee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6A34A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Payroll computed from the structure — never re-typed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6A34A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Payslips issued individually or for everyone at once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6A34A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Payroll summary for each period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6A34A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Payslip reaches the employee's app and inbox together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6A34A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Company bank details entered and verified by different roles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6A34A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PAN, Aadhaar and bank withheld from every role but HR and the person</w:t>
            </w:r>
          </w:p>
          <w:p>
            <w:pPr>
              <w:spacing w:after="150" w:before="0"/>
            </w:pPr>
          </w:p>
          <w:p>
            <w:pPr>
              <w:keepNext/>
              <w:pBdr>
                <w:bottom w:val="single" w:color="8B5CF6" w:sz="8"/>
              </w:pBdr>
              <w:spacing w:after="46" w:before="0" w:line="215" w:lineRule="atLeast"/>
            </w:pP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9"/>
                <w:szCs w:val="19"/>
              </w:rPr>
              <w:t xml:space="preserve">  </w:t>
            </w:r>
            <w:r>
              <w:rPr>
                <w:rFonts w:ascii="Segoe UI Semibold" w:cs="Segoe UI Semibold" w:eastAsia="Segoe UI Semibold" w:hAnsi="Segoe UI Semibold"/>
                <w:b/>
                <w:bCs/>
                <w:i w:val="false"/>
                <w:iCs w:val="false"/>
                <w:caps/>
                <w:color w:val="0A3524"/>
                <w:spacing w:val="20"/>
                <w:sz w:val="16"/>
                <w:szCs w:val="16"/>
              </w:rPr>
              <w:t xml:space="preserve">Projects &amp; tasks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8B5CF6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Projects with members, dates and status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8B5CF6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Tasks with priority, checklist, attachments and stages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8B5CF6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Move a task along and report completion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8B5CF6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Permission is per field — move, re-scope and report are separate rights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8B5CF6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Checklist and task progress stay in step automatically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8B5CF6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Team board and reporting view for managers</w:t>
            </w:r>
          </w:p>
          <w:p>
            <w:pPr>
              <w:spacing w:after="150" w:before="0"/>
            </w:pPr>
          </w:p>
          <w:p>
            <w:pPr>
              <w:keepNext/>
              <w:pBdr>
                <w:bottom w:val="single" w:color="D97706" w:sz="8"/>
              </w:pBdr>
              <w:spacing w:after="46" w:before="0" w:line="215" w:lineRule="atLeast"/>
            </w:pP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9"/>
                <w:szCs w:val="19"/>
              </w:rPr>
              <w:t xml:space="preserve">  </w:t>
            </w:r>
            <w:r>
              <w:rPr>
                <w:rFonts w:ascii="Segoe UI Semibold" w:cs="Segoe UI Semibold" w:eastAsia="Segoe UI Semibold" w:hAnsi="Segoe UI Semibold"/>
                <w:b/>
                <w:bCs/>
                <w:i w:val="false"/>
                <w:iCs w:val="false"/>
                <w:caps/>
                <w:color w:val="0A3524"/>
                <w:spacing w:val="20"/>
                <w:sz w:val="16"/>
                <w:szCs w:val="16"/>
              </w:rPr>
              <w:t xml:space="preserve">Documents &amp; assets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D97706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Twelve letter types: offer, appointment, joining, confirmation, experience, relieving, certificate, internship, promotion, appraisal, warning, termination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D97706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Generated from live data, on company letterhead, with a reference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D97706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Employees open and share their own letters from the app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D97706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Policy handbook, versioned when it changes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D97706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Assets issued and returned, tracked by serial number</w:t>
            </w:r>
          </w:p>
        </w:tc>
        <w:tc>
          <w:tcPr>
            <w:tcW w:type="dxa" w:w="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4"/>
                <w:szCs w:val="4"/>
              </w:rPr>
              <w:t xml:space="preserve"> </w:t>
            </w:r>
          </w:p>
        </w:tc>
        <w:tc>
          <w:tcPr>
            <w:tcW w:type="dxa" w:w="31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pBdr>
                <w:bottom w:val="single" w:color="0EA5E9" w:sz="8"/>
              </w:pBdr>
              <w:spacing w:after="46" w:before="0" w:line="215" w:lineRule="atLeast"/>
            </w:pP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9"/>
                <w:szCs w:val="19"/>
              </w:rPr>
              <w:t xml:space="preserve">  </w:t>
            </w:r>
            <w:r>
              <w:rPr>
                <w:rFonts w:ascii="Segoe UI Semibold" w:cs="Segoe UI Semibold" w:eastAsia="Segoe UI Semibold" w:hAnsi="Segoe UI Semibold"/>
                <w:b/>
                <w:bCs/>
                <w:i w:val="false"/>
                <w:iCs w:val="false"/>
                <w:caps/>
                <w:color w:val="0A3524"/>
                <w:spacing w:val="20"/>
                <w:sz w:val="16"/>
                <w:szCs w:val="16"/>
              </w:rPr>
              <w:t xml:space="preserve">Communication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0EA5E9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Messaging inside the HRMS, with unread counts that are always right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0EA5E9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Attach a photo, camera shot, document, location, contact, poll or event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0EA5E9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Voice notes, emoji, and search across every chat or inside one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0EA5E9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Edit within 15 minutes; delete for everyone within an hour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0EA5E9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Announcements to the whole company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0EA5E9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Email through the company's own SMTP — payslips, letters, resets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0EA5E9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Every send logged, whether it succeeded or not</w:t>
            </w:r>
          </w:p>
          <w:p>
            <w:pPr>
              <w:spacing w:after="150" w:before="0"/>
            </w:pPr>
          </w:p>
          <w:p>
            <w:pPr>
              <w:keepNext/>
              <w:pBdr>
                <w:bottom w:val="single" w:color="6366F1" w:sz="8"/>
              </w:pBdr>
              <w:spacing w:after="46" w:before="0" w:line="215" w:lineRule="atLeast"/>
            </w:pP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9"/>
                <w:szCs w:val="19"/>
              </w:rPr>
              <w:t xml:space="preserve">  </w:t>
            </w:r>
            <w:r>
              <w:rPr>
                <w:rFonts w:ascii="Segoe UI Semibold" w:cs="Segoe UI Semibold" w:eastAsia="Segoe UI Semibold" w:hAnsi="Segoe UI Semibold"/>
                <w:b/>
                <w:bCs/>
                <w:i w:val="false"/>
                <w:iCs w:val="false"/>
                <w:caps/>
                <w:color w:val="0A3524"/>
                <w:spacing w:val="20"/>
                <w:sz w:val="16"/>
                <w:szCs w:val="16"/>
              </w:rPr>
              <w:t xml:space="preserve">Reporting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6366F1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Six reports: employees, attendance, leaves, tasks, projects, hierarchy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6366F1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Personal counters on every dashboard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6366F1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Append-only audit log, readable by HR and editable by nobody</w:t>
            </w:r>
          </w:p>
          <w:p>
            <w:pPr>
              <w:spacing w:after="150" w:before="0"/>
            </w:pPr>
          </w:p>
          <w:p>
            <w:pPr>
              <w:keepNext/>
              <w:pBdr>
                <w:bottom w:val="single" w:color="64748B" w:sz="8"/>
              </w:pBdr>
              <w:spacing w:after="46" w:before="0" w:line="215" w:lineRule="atLeast"/>
            </w:pP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9"/>
                <w:szCs w:val="19"/>
              </w:rPr>
              <w:t xml:space="preserve">  </w:t>
            </w:r>
            <w:r>
              <w:rPr>
                <w:rFonts w:ascii="Segoe UI Semibold" w:cs="Segoe UI Semibold" w:eastAsia="Segoe UI Semibold" w:hAnsi="Segoe UI Semibold"/>
                <w:b/>
                <w:bCs/>
                <w:i w:val="false"/>
                <w:iCs w:val="false"/>
                <w:caps/>
                <w:color w:val="0A3524"/>
                <w:spacing w:val="20"/>
                <w:sz w:val="16"/>
                <w:szCs w:val="16"/>
              </w:rPr>
              <w:t xml:space="preserve">Administration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64748B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Multi-tenant — one deployment, any number of companies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64748B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Subscription plans switch modules on and off per company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64748B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Seven roles, plus a platform administrator above them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64748B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Company branding, letterhead and email settings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64748B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Time-boxed, logged support access</w:t>
            </w:r>
          </w:p>
          <w:p>
            <w:pPr>
              <w:spacing w:after="150" w:before="0"/>
            </w:pPr>
          </w:p>
          <w:p>
            <w:pPr>
              <w:keepNext/>
              <w:pBdr>
                <w:bottom w:val="single" w:color="166534" w:sz="8"/>
              </w:pBdr>
              <w:spacing w:after="46" w:before="0" w:line="215" w:lineRule="atLeast"/>
            </w:pP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9"/>
                <w:szCs w:val="19"/>
              </w:rPr>
              <w:t xml:space="preserve">  </w:t>
            </w:r>
            <w:r>
              <w:rPr>
                <w:rFonts w:ascii="Segoe UI Semibold" w:cs="Segoe UI Semibold" w:eastAsia="Segoe UI Semibold" w:hAnsi="Segoe UI Semibold"/>
                <w:b/>
                <w:bCs/>
                <w:i w:val="false"/>
                <w:iCs w:val="false"/>
                <w:caps/>
                <w:color w:val="0A3524"/>
                <w:spacing w:val="20"/>
                <w:sz w:val="16"/>
                <w:szCs w:val="16"/>
              </w:rPr>
              <w:t xml:space="preserve">Security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66534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Row-level security on every table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66534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Every write re-checked by the database, not by the screen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66534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Passkeys on the browser; device keys on the phone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66534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SMTP credentials encrypted; TLS end to end</w:t>
            </w:r>
          </w:p>
          <w:p>
            <w:pPr>
              <w:spacing w:after="22" w:before="0" w:line="178" w:lineRule="atLeast"/>
              <w:ind w:left="145" w:hanging="145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66534"/>
                <w:sz w:val="13"/>
                <w:szCs w:val="13"/>
              </w:rPr>
              <w:t xml:space="preserve">▪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0F172A"/>
                <w:sz w:val="14"/>
                <w:szCs w:val="14"/>
              </w:rPr>
              <w:t xml:space="preserve">Login throttling, rate limits and security logging (ISO 27001 controls)</w:t>
            </w:r>
          </w:p>
        </w:tc>
      </w:tr>
    </w:tbl>
    <w:p>
      <w:pPr>
        <w:spacing w:after="165" w:before="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3524" w:color="auto" w:val="clear"/>
            <w:tcMar>
              <w:top w:type="dxa" w:w="85"/>
              <w:left w:type="dxa" w:w="150"/>
              <w:bottom w:type="dxa" w:w="85"/>
              <w:right w:type="dxa" w:w="150"/>
            </w:tcMar>
          </w:tcPr>
          <w:p>
            <w:pPr>
              <w:spacing w:after="32" w:before="0" w:line="215" w:lineRule="atLeast"/>
              <w:jc w:val="center"/>
            </w:pPr>
            <w:r>
              <w:drawing>
                <wp:inline distT="0" distB="0" distL="0" distR="0">
                  <wp:extent cx="123825" cy="123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9"/>
                <w:szCs w:val="19"/>
              </w:rPr>
              <w:t xml:space="preserve">  </w:t>
            </w:r>
            <w:r>
              <w:rPr>
                <w:rFonts w:ascii="Segoe UI Semibold" w:cs="Segoe UI Semibold" w:eastAsia="Segoe UI Semibold" w:hAnsi="Segoe UI Semibold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Two apps, one account, one database</w:t>
            </w:r>
          </w:p>
          <w:p>
            <w:pPr>
              <w:spacing w:after="30" w:before="0" w:line="195" w:lineRule="atLeast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BFD8CC"/>
                <w:sz w:val="15"/>
                <w:szCs w:val="15"/>
              </w:rPr>
              <w:t xml:space="preserve">React Native app for Android and iOS  ·  React web portal  ·  Node API  ·  PostgreSQL  ·  your own SMTP</w:t>
            </w:r>
          </w:p>
          <w:p>
            <w:pPr>
              <w:spacing w:after="0" w:before="0" w:line="195" w:lineRule="atLeast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BFD8CC"/>
                <w:sz w:val="15"/>
                <w:szCs w:val="15"/>
              </w:rPr>
              <w:t xml:space="preserve">A permission changed once takes effect on the phone and on the web at the same moment — and every read is scoped to the company before the role is consulted.</w:t>
            </w:r>
          </w:p>
        </w:tc>
      </w:tr>
    </w:tbl>
    <w:sectPr>
      <w:footerReference w:type="default" r:id="rId7"/>
      <w:pgSz w:w="11906" w:h="16838" w:orient="portrait"/>
      <w:pgMar w:top="620" w:right="1080" w:bottom="560" w:left="1080" w:header="400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746"/>
      </w:tabs>
      <w:spacing w:after="0" w:before="0"/>
    </w:pPr>
    <w:r>
      <w:rPr>
        <w:rFonts w:ascii="Calibri" w:cs="Calibri" w:eastAsia="Calibri" w:hAnsi="Calibri"/>
        <w:b w:val="false"/>
        <w:bCs w:val="false"/>
        <w:i w:val="false"/>
        <w:iCs w:val="false"/>
        <w:caps w:val="false"/>
        <w:color w:val="94A3B8"/>
        <w:sz w:val="16"/>
        <w:szCs w:val="16"/>
      </w:rPr>
      <w:t xml:space="preserve">Whhoohh Path LLP  ·  Hyderabad  ·  com.whhoohhpath.hrms  ·  v1.0</w:t>
    </w:r>
    <w:r>
      <w:t xml:space="preserve">	</w:t>
    </w:r>
    <w:r>
      <w:rPr>
        <w:rFonts w:ascii="Calibri" w:cs="Calibri" w:eastAsia="Calibri" w:hAnsi="Calibri"/>
        <w:b w:val="false"/>
        <w:bCs w:val="false"/>
        <w:i w:val="false"/>
        <w:iCs w:val="false"/>
        <w:caps w:val="false"/>
        <w:color w:val="94A3B8"/>
        <w:sz w:val="16"/>
        <w:szCs w:val="16"/>
      </w:rPr>
      <w:t xml:space="preserve">16 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40" w:hanging="190"/>
      </w:pPr>
      <w:rPr>
        <w:color w:val="16A34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50"/>
      </w:pPr>
      <w:rPr>
        <w:b/>
        <w:bCs/>
        <w:color w:val="16A34A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1"/>
        <w:szCs w:val="21"/>
      </w:rPr>
    </w:rPrDefault>
    <w:pPrDefault>
      <w:pPr>
        <w:spacing w:line="250" w:lineRule="atLeas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ec57478237aab31fadcc5e542778c4fc6870f6f.png"/><Relationship Id="rId9" Type="http://schemas.openxmlformats.org/officeDocument/2006/relationships/image" Target="media/7b1b63bcf8897dd40e0da890f546f019f115c209.png"/><Relationship Id="rId10" Type="http://schemas.openxmlformats.org/officeDocument/2006/relationships/image" Target="media/b89d306d7fcdbefdc75afa4daf48d9e2f1bfc97d.png"/><Relationship Id="rId11" Type="http://schemas.openxmlformats.org/officeDocument/2006/relationships/image" Target="media/9bf38ac8da97e570be44b24acb93119725a5c76a.png"/><Relationship Id="rId12" Type="http://schemas.openxmlformats.org/officeDocument/2006/relationships/image" Target="media/442c8f759727f1331cf4d6dfbb0ad6b994afc6f9.png"/><Relationship Id="rId13" Type="http://schemas.openxmlformats.org/officeDocument/2006/relationships/image" Target="media/05f57c2e031898a247fd67ea44a8d4452d922a9a.png"/><Relationship Id="rId14" Type="http://schemas.openxmlformats.org/officeDocument/2006/relationships/image" Target="media/1e2063a74e0845d93fd8a7501bb6a6760e6dbfde.png"/><Relationship Id="rId15" Type="http://schemas.openxmlformats.org/officeDocument/2006/relationships/image" Target="media/8c2eb71721415c927584da383500fb2cca9a575a.png"/><Relationship Id="rId16" Type="http://schemas.openxmlformats.org/officeDocument/2006/relationships/image" Target="media/2b41d862813ee04ec3eb2acb51720eb09c033724.png"/><Relationship Id="rId17" Type="http://schemas.openxmlformats.org/officeDocument/2006/relationships/image" Target="media/291dedba57eff211f26d7a7d7ace6826ca85e0dc.png"/><Relationship Id="rId18" Type="http://schemas.openxmlformats.org/officeDocument/2006/relationships/image" Target="media/669d390f05aa1f7244a0dde1e5e93f4c00d05c52.png"/><Relationship Id="rId19" Type="http://schemas.openxmlformats.org/officeDocument/2006/relationships/image" Target="media/f85306806259222f1d4687d61edd2afdec0573cb.png"/><Relationship Id="rId20" Type="http://schemas.openxmlformats.org/officeDocument/2006/relationships/image" Target="media/34678cc0f5975a8e8f4a31675f2806c4128e93e6.png"/><Relationship Id="rId21" Type="http://schemas.openxmlformats.org/officeDocument/2006/relationships/image" Target="media/c8203cd3c6c64ebe18204c395c929a0a975929e8.png"/><Relationship Id="rId22" Type="http://schemas.openxmlformats.org/officeDocument/2006/relationships/image" Target="media/613318fc77046241aab4b1c492ee8a87ec1e3ba4.png"/><Relationship Id="rId23" Type="http://schemas.openxmlformats.org/officeDocument/2006/relationships/image" Target="media/d3628f903c13b2eab6a91047cefb642adec6b89a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Whhoohh Path HRMS — What it does</dc:title>
  <dc:creator>Whhoohh Path LLP</dc:creator>
  <dc:description>Every feature of the Whhoohh Path HRMS on a single page.</dc:description>
  <cp:lastModifiedBy>Un-named</cp:lastModifiedBy>
  <cp:revision>1</cp:revision>
  <dcterms:created xsi:type="dcterms:W3CDTF">2026-09-16T08:10:01.867Z</dcterms:created>
  <dcterms:modified xsi:type="dcterms:W3CDTF">2026-09-16T08:10:01.867Z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