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14291"/>
        <w:gridCol w:w="6600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90"/>
              <w:left w:type="dxa" w:w="160"/>
              <w:bottom w:type="dxa" w:w="90"/>
              <w:right w:type="dxa" w:w="60"/>
            </w:tcMar>
            <w:vAlign w:val="center"/>
          </w:tcPr>
          <w:p>
            <w:pPr>
              <w:spacing w:after="0" w:before="0" w:line="700" w:lineRule="atLeast"/>
            </w:pPr>
            <w:r>
              <w:drawing>
                <wp:inline distT="0" distB="0" distL="0" distR="0">
                  <wp:extent cx="59055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90"/>
              <w:left w:type="dxa" w:w="60"/>
              <w:bottom w:type="dxa" w:w="90"/>
              <w:right w:type="dxa" w:w="160"/>
            </w:tcMar>
            <w:vAlign w:val="center"/>
          </w:tcPr>
          <w:p>
            <w:pPr>
              <w:spacing w:after="50" w:before="0" w:line="38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40"/>
                <w:szCs w:val="40"/>
              </w:rPr>
              <w:t xml:space="preserve">HRMS — System Architecture</w:t>
            </w:r>
          </w:p>
          <w:p>
            <w:pPr>
              <w:spacing w:after="0" w:before="0" w:line="22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Multi-Tenant   ·   Web + Mobile   ·   SMTP   ·   Payroll   ·   Secure &amp; Scalable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40" w:before="0" w:line="21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Whhoohh Path LLP   ·   com.whhoohhpath.hrms   ·   v1.0</w:t>
            </w:r>
          </w:p>
          <w:p>
            <w:pPr>
              <w:spacing w:after="0" w:before="0" w:line="21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FC4B4"/>
                <w:sz w:val="13"/>
                <w:szCs w:val="13"/>
              </w:rPr>
              <w:t xml:space="preserve">React + Vite (Vercel)  ·  React Native / Expo  ·  Node 22 + Express 5 (Render)  ·  Neon PostgreSQL  ·  SMTP</w:t>
            </w:r>
          </w:p>
        </w:tc>
      </w:tr>
    </w:tbl>
    <w:p>
      <w:pPr>
        <w:spacing w:after="70" w:before="0" w:line="20" w:lineRule="atLeast"/>
      </w:pP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00"/>
        <w:gridCol w:w="200"/>
        <w:gridCol w:w="11100"/>
        <w:gridCol w:w="200"/>
        <w:gridCol w:w="5691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Hierarchy &amp; User Roles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seven roles + platform</w:t>
            </w:r>
          </w:p>
          <w:tbl>
            <w:tblPr>
              <w:tblW w:type="dxa" w:w="5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500"/>
            </w:tblGrid>
            <w:tr>
              <w:trPr>
                <w:cantSplit/>
              </w:trPr>
              <w:tc>
                <w:tcPr>
                  <w:tcW w:type="dxa" w:w="5500"/>
                  <w:tcBorders>
                    <w:top w:val="single" w:color="16704C" w:sz="4"/>
                    <w:left w:val="single" w:color="0F4C34" w:sz="18"/>
                    <w:bottom w:val="single" w:color="16704C" w:sz="4"/>
                    <w:right w:val="single" w:color="16704C" w:sz="4"/>
                  </w:tcBorders>
                  <w:shd w:fill="E8F1ED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4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0F4C34"/>
                      <w:spacing w:val="20"/>
                      <w:sz w:val="15"/>
                      <w:szCs w:val="15"/>
                    </w:rPr>
                    <w:t xml:space="preserve">Level 0 · platform</w:t>
                  </w:r>
                </w:p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Platform Owner — Super Admin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Whhoohh Path LLP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Creates and suspends tenant companies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companyId is null — owns no employee record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Enters a tenant only through support mode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Sets each company's subscribed modules</w:t>
                  </w:r>
                </w:p>
              </w:tc>
            </w:tr>
          </w:tbl>
          <w:p>
            <w:pPr>
              <w:spacing w:after="30" w:before="30" w:line="19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  <w:tbl>
            <w:tblPr>
              <w:tblW w:type="dxa" w:w="5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500"/>
            </w:tblGrid>
            <w:tr>
              <w:trPr>
                <w:cantSplit/>
              </w:trPr>
              <w:tc>
                <w:tcPr>
                  <w:tcW w:type="dxa" w:w="5500"/>
                  <w:tcBorders>
                    <w:top w:val="single" w:color="075985" w:sz="4"/>
                    <w:left w:val="single" w:color="075985" w:sz="18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4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075985"/>
                      <w:spacing w:val="20"/>
                      <w:sz w:val="15"/>
                      <w:szCs w:val="15"/>
                    </w:rPr>
                    <w:t xml:space="preserve">Level 1 · tenant</w:t>
                  </w:r>
                </w:p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Company / Tenant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e.g. Prozonic Technologies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One company_id scopes every row in the system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Own employees, payroll, letters and calendar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Own SMTP credentials, encrypted before storage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Own branding, leave types and designations</w:t>
                  </w:r>
                </w:p>
              </w:tc>
            </w:tr>
          </w:tbl>
          <w:p>
            <w:pPr>
              <w:spacing w:after="30" w:before="30" w:line="19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  <w:tbl>
            <w:tblPr>
              <w:tblW w:type="dxa" w:w="5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500"/>
            </w:tblGrid>
            <w:tr>
              <w:trPr>
                <w:cantSplit/>
              </w:trPr>
              <w:tc>
                <w:tcPr>
                  <w:tcW w:type="dxa" w:w="5500"/>
                  <w:tcBorders>
                    <w:top w:val="single" w:color="92400E" w:sz="4"/>
                    <w:left w:val="single" w:color="92400E" w:sz="18"/>
                    <w:bottom w:val="single" w:color="92400E" w:sz="4"/>
                    <w:right w:val="single" w:color="92400E" w:sz="4"/>
                  </w:tcBorders>
                  <w:shd w:fill="FEF3C7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4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92400E"/>
                      <w:spacing w:val="20"/>
                      <w:sz w:val="15"/>
                      <w:szCs w:val="15"/>
                    </w:rPr>
                    <w:t xml:space="preserve">Level 2 · administration</w:t>
                  </w:r>
                </w:p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Company Administration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Founder  ·  Company Admin  ·  HR Admin  ·  Accounts Manager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Founder / Company Admin — company profile, bank verification, every module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HR Admin — people, payroll runs, letters, the seven company reports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Accounts Manager — payroll and bank verification, not HR records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bank.edit and bank.verify are held by different roles by design</w:t>
                  </w:r>
                </w:p>
              </w:tc>
            </w:tr>
          </w:tbl>
          <w:p>
            <w:pPr>
              <w:spacing w:after="30" w:before="30" w:line="19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  <w:tbl>
            <w:tblPr>
              <w:tblW w:type="dxa" w:w="5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500"/>
            </w:tblGrid>
            <w:tr>
              <w:trPr>
                <w:cantSplit/>
              </w:trPr>
              <w:tc>
                <w:tcPr>
                  <w:tcW w:type="dxa" w:w="5500"/>
                  <w:tcBorders>
                    <w:top w:val="single" w:color="D8E0E6" w:sz="4"/>
                    <w:left w:val="single" w:color="16704C" w:sz="18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4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16704C"/>
                      <w:spacing w:val="20"/>
                      <w:sz w:val="15"/>
                      <w:szCs w:val="15"/>
                    </w:rPr>
                    <w:t xml:space="preserve">Level 3 · delivery</w:t>
                  </w:r>
                </w:p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Project Manager  ·  Team Lead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Siblings, not a chain — each sits directly above Employee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Project Manager — owns projects, re-scopes tasks, reads team reporting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Team Lead — moves the board along, approves their reports' leave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Neither reads salary, PAN, Aadhaar or bank details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Scope follows reporting_manager, not seniority</w:t>
                  </w:r>
                </w:p>
              </w:tc>
            </w:tr>
          </w:tbl>
          <w:p>
            <w:pPr>
              <w:spacing w:after="30" w:before="30" w:line="19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  <w:tbl>
            <w:tblPr>
              <w:tblW w:type="dxa" w:w="5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500"/>
            </w:tblGrid>
            <w:tr>
              <w:trPr>
                <w:cantSplit/>
              </w:trPr>
              <w:tc>
                <w:tcPr>
                  <w:tcW w:type="dxa" w:w="5500"/>
                  <w:tcBorders>
                    <w:top w:val="single" w:color="D8E0E6" w:sz="4"/>
                    <w:left w:val="single" w:color="16A34A" w:sz="18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4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/>
                      <w:color w:val="16A34A"/>
                      <w:spacing w:val="20"/>
                      <w:sz w:val="15"/>
                      <w:szCs w:val="15"/>
                    </w:rPr>
                    <w:t xml:space="preserve">Level 4 · baseline</w:t>
                  </w:r>
                </w:p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Employee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Every account has this baseline, whatever else it holds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Biometric check-in and check-out, own attendance history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Applies for leave, sees own balance and payslips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Own letters, assets, tasks and the company calendar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Reads no other employee's personal or financial data</w:t>
                  </w:r>
                </w:p>
              </w:tc>
            </w:tr>
          </w:tbl>
          <w:p>
            <w:pPr>
              <w:spacing w:after="110" w:before="0" w:line="20" w:lineRule="atLeast"/>
            </w:pPr>
          </w:p>
          <w:tbl>
            <w:tblPr>
              <w:tblW w:type="dxa" w:w="5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500"/>
            </w:tblGrid>
            <w:tr>
              <w:trPr>
                <w:cantSplit/>
              </w:trPr>
              <w:tc>
                <w:tcPr>
                  <w:tcW w:type="dxa" w:w="5500"/>
                  <w:tcBorders>
                    <w:top w:val="single" w:color="991B1B" w:sz="4"/>
                    <w:left w:val="single" w:color="991B1B" w:sz="18"/>
                    <w:bottom w:val="single" w:color="991B1B" w:sz="4"/>
                    <w:right w:val="single" w:color="991B1B" w:sz="4"/>
                  </w:tcBorders>
                  <w:shd w:fill="FEE2E2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91B1B"/>
                      <w:sz w:val="19"/>
                      <w:szCs w:val="19"/>
                    </w:rPr>
                    <w:t xml:space="preserve">How access is decided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the two sentences this architecture rests on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91B1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Two independent gates — the company must subscribe to the module AND the role must permit it.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91B1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Every read is scoped by company_id before the role is consulted; a role widens access inside a tenant, never across one.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91B1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Navigation guards hide; the database refuses.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1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Deployed Stack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client → API → database</w:t>
            </w: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00"/>
            </w:tblGrid>
            <w:tr>
              <w:trPr>
                <w:cantSplit/>
              </w:trPr>
              <w:tc>
                <w:tcPr>
                  <w:tcW w:type="dxa" w:w="1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C34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4"/>
                      <w:sz w:val="19"/>
                      <w:szCs w:val="19"/>
                    </w:rPr>
                    <w:t xml:space="preserve">Client Layer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BFD8CC"/>
                      <w:sz w:val="17"/>
                      <w:szCs w:val="17"/>
                    </w:rPr>
                    <w:t xml:space="preserve">     what the user runs</w:t>
                  </w:r>
                </w:p>
              </w:tc>
            </w:tr>
          </w:tbl>
          <w:p>
            <w:pPr>
              <w:spacing w:after="70" w:before="0" w:line="20" w:lineRule="atLeast"/>
            </w:pP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490"/>
              <w:gridCol w:w="120"/>
              <w:gridCol w:w="5490"/>
            </w:tblGrid>
            <w:tr>
              <w:trPr>
                <w:cantSplit/>
              </w:trPr>
              <w:tc>
                <w:tcPr>
                  <w:tcW w:type="dxa" w:w="5490"/>
                  <w:tcBorders>
                    <w:top w:val="single" w:color="D8E0E6" w:sz="4"/>
                    <w:left w:val="single" w:color="16704C" w:sz="18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Web Application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React 19 · Vite · TanStack Query · shadcn/ui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Portal modules, each role-guarded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Strict CSP; connect-src pinned to the API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Served as static files from Vercel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5490"/>
                  <w:tcBorders>
                    <w:top w:val="single" w:color="D8E0E6" w:sz="4"/>
                    <w:left w:val="single" w:color="16704C" w:sz="18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Mobile Application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React Native · Expo · com.whhoohhpath.hrms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Five tabs; twelve native modules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ed25519 device key in the OS keystore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Portal tab embeds the web app, signed in</w:t>
                  </w:r>
                </w:p>
              </w:tc>
            </w:tr>
          </w:tbl>
          <w:p>
            <w:pPr>
              <w:spacing w:after="70" w:before="0" w:line="20" w:lineRule="atLeast"/>
            </w:pP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00"/>
            </w:tblGrid>
            <w:tr>
              <w:trPr>
                <w:cantSplit/>
              </w:trPr>
              <w:tc>
                <w:tcPr>
                  <w:tcW w:type="dxa" w:w="11100"/>
                  <w:tcBorders>
                    <w:top w:val="single" w:color="16704C" w:sz="4"/>
                    <w:left w:val="single" w:color="16704C" w:sz="4"/>
                    <w:bottom w:val="single" w:color="16704C" w:sz="4"/>
                    <w:right w:val="single" w:color="16704C" w:sz="4"/>
                  </w:tcBorders>
                  <w:shd w:fill="E8F1ED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Access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     Web browser  ·  Android APK and iOS build via Expo EAS  ·  one session, both surfaces</w:t>
                  </w:r>
                </w:p>
              </w:tc>
            </w:tr>
          </w:tbl>
          <w:p>
            <w:pPr>
              <w:spacing w:after="30" w:before="30" w:line="19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7"/>
                <w:szCs w:val="17"/>
              </w:rPr>
              <w:t xml:space="preserve">HTTPS  ·  REST + JSON  ·  Bearer JWT on every request 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00"/>
            </w:tblGrid>
            <w:tr>
              <w:trPr>
                <w:cantSplit/>
              </w:trPr>
              <w:tc>
                <w:tcPr>
                  <w:tcW w:type="dxa" w:w="1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C34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4"/>
                      <w:sz w:val="19"/>
                      <w:szCs w:val="19"/>
                    </w:rPr>
                    <w:t xml:space="preserve">Backend Layer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BFD8CC"/>
                      <w:sz w:val="17"/>
                      <w:szCs w:val="17"/>
                    </w:rPr>
                    <w:t xml:space="preserve">     Node.js 22 + Express 5  ·  hosted on Render</w:t>
                  </w:r>
                </w:p>
              </w:tc>
            </w:tr>
          </w:tbl>
          <w:p>
            <w:pPr>
              <w:spacing w:after="70" w:before="0" w:line="20" w:lineRule="atLeast"/>
            </w:pP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20"/>
              <w:gridCol w:w="120"/>
              <w:gridCol w:w="3620"/>
              <w:gridCol w:w="120"/>
              <w:gridCol w:w="3620"/>
            </w:tblGrid>
            <w:tr>
              <w:trPr>
                <w:cantSplit/>
              </w:trPr>
              <w:tc>
                <w:tcPr>
                  <w:tcW w:type="dxa" w:w="3620"/>
                  <w:tcBorders>
                    <w:top w:val="single" w:color="92400E" w:sz="4"/>
                    <w:left w:val="single" w:color="92400E" w:sz="18"/>
                    <w:bottom w:val="single" w:color="92400E" w:sz="4"/>
                    <w:right w:val="single" w:color="92400E" w:sz="4"/>
                  </w:tcBorders>
                  <w:shd w:fill="FEF3C7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Authentication &amp; Authorization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auth.ts  ·  webauthn.ts  ·  deviceauth.ts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JWT issued at sign-in, 8 h TTL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WebAuthn passkeys for the browser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ed25519 challenge–response for the phone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Five failures locks an address for 15 min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620"/>
                  <w:tcBorders>
                    <w:top w:val="single" w:color="92400E" w:sz="4"/>
                    <w:left w:val="single" w:color="92400E" w:sz="18"/>
                    <w:bottom w:val="single" w:color="92400E" w:sz="4"/>
                    <w:right w:val="single" w:color="92400E" w:sz="4"/>
                  </w:tcBorders>
                  <w:shd w:fill="FEF3C7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Session Context &amp; Tenant Isolation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db.ts — withSession()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Every query runs inside a transaction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user_id and company_id stamped on the connection first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Connects as hrms_app, never the table owner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No identity ⇒ the database returns nothing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620"/>
                  <w:tcBorders>
                    <w:top w:val="single" w:color="92400E" w:sz="4"/>
                    <w:left w:val="single" w:color="92400E" w:sz="18"/>
                    <w:bottom w:val="single" w:color="92400E" w:sz="4"/>
                    <w:right w:val="single" w:color="92400E" w:sz="4"/>
                  </w:tcBorders>
                  <w:shd w:fill="FEF3C7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Business Modules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/query  ·  /rest/:table  ·  /rpc/:fn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Reads answered from named views only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Every write is a database function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Payroll, leave, letters, tasks, reports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The function re-checks the caller</w:t>
                  </w:r>
                </w:p>
              </w:tc>
            </w:tr>
          </w:tbl>
          <w:p>
            <w:pPr>
              <w:spacing w:after="80" w:before="0" w:line="20" w:lineRule="atLeast"/>
            </w:pP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20"/>
              <w:gridCol w:w="120"/>
              <w:gridCol w:w="3620"/>
              <w:gridCol w:w="120"/>
              <w:gridCol w:w="3620"/>
            </w:tblGrid>
            <w:tr>
              <w:trPr>
                <w:cantSplit/>
              </w:trPr>
              <w:tc>
                <w:tcPr>
                  <w:tcW w:type="dxa" w:w="3620"/>
                  <w:tcBorders>
                    <w:top w:val="single" w:color="075985" w:sz="4"/>
                    <w:left w:val="single" w:color="075985" w:sz="18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Email Service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Nodemailer  ·  src/email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Per-tenant SMTP, credentials encrypted at rest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Templates, event triggers, delivery log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Test endpoint; dev mode sends nothing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620"/>
                  <w:tcBorders>
                    <w:top w:val="single" w:color="075985" w:sz="4"/>
                    <w:left w:val="single" w:color="075985" w:sz="18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File Service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POST /files  ·  GET /files/:id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Photos and logos held in Postgres (bytea)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Read only after authentication, scoped by tenant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10 MB cap; no public bucket, no signed URLs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620"/>
                  <w:tcBorders>
                    <w:top w:val="single" w:color="075985" w:sz="4"/>
                    <w:left w:val="single" w:color="075985" w:sz="18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Rate Limiting &amp; Audit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security.ts  ·  ISO 27001 A.8.5 / A.8.15 / A.8.16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Separate limits for auth, API, admin and upload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Security events written to append-only audit_logs</w:t>
                  </w:r>
                </w:p>
              </w:tc>
            </w:tr>
          </w:tbl>
          <w:p>
            <w:pPr>
              <w:spacing w:after="80" w:before="0" w:line="20" w:lineRule="atLeast"/>
            </w:pP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00"/>
            </w:tblGrid>
            <w:tr>
              <w:trPr>
                <w:cantSplit/>
              </w:trPr>
              <w:tc>
                <w:tcPr>
                  <w:tcW w:type="dxa" w:w="11100"/>
                  <w:tcBorders>
                    <w:top w:val="single" w:color="475569" w:sz="4"/>
                    <w:left w:val="single" w:color="475569" w:sz="4"/>
                    <w:bottom w:val="single" w:color="475569" w:sz="4"/>
                    <w:right w:val="single" w:color="475569" w:sz="4"/>
                  </w:tcBorders>
                  <w:shd w:fill="EEF2F7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9"/>
                      <w:szCs w:val="19"/>
                    </w:rPr>
                    <w:t xml:space="preserve">API routes + middleware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     requireAuth  →  rate limit  →  session context  →  validation  →  audit        /health  ·  /auth  ·  /query  ·  /rest  ·  /rpc  ·  /files  ·  /device  ·  /webauthn  ·  /email</w:t>
                  </w:r>
                </w:p>
              </w:tc>
            </w:tr>
          </w:tbl>
          <w:p>
            <w:pPr>
              <w:spacing w:after="30" w:before="30" w:line="19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7"/>
                <w:szCs w:val="17"/>
              </w:rPr>
              <w:t xml:space="preserve">pg pool (max 10)  ·  TLS verified  ·  role hrms_app 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▼</w:t>
            </w: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00"/>
            </w:tblGrid>
            <w:tr>
              <w:trPr>
                <w:cantSplit/>
              </w:trPr>
              <w:tc>
                <w:tcPr>
                  <w:tcW w:type="dxa" w:w="1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C34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4"/>
                      <w:sz w:val="19"/>
                      <w:szCs w:val="19"/>
                    </w:rPr>
                    <w:t xml:space="preserve">Data Layer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BFD8CC"/>
                      <w:sz w:val="17"/>
                      <w:szCs w:val="17"/>
                    </w:rPr>
                    <w:t xml:space="preserve">     Neon PostgreSQL — serverless · migrations 0001–0033</w:t>
                  </w:r>
                </w:p>
              </w:tc>
            </w:tr>
          </w:tbl>
          <w:p>
            <w:pPr>
              <w:spacing w:after="70" w:before="0" w:line="20" w:lineRule="atLeast"/>
            </w:pP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20"/>
              <w:gridCol w:w="120"/>
              <w:gridCol w:w="3620"/>
              <w:gridCol w:w="120"/>
              <w:gridCol w:w="3620"/>
            </w:tblGrid>
            <w:tr>
              <w:trPr>
                <w:cantSplit/>
              </w:trPr>
              <w:tc>
                <w:tcPr>
                  <w:tcW w:type="dxa" w:w="3620"/>
                  <w:tcBorders>
                    <w:top w:val="single" w:color="166534" w:sz="4"/>
                    <w:left w:val="single" w:color="166534" w:sz="18"/>
                    <w:bottom w:val="single" w:color="166534" w:sz="4"/>
                    <w:right w:val="single" w:color="166534" w:sz="4"/>
                  </w:tcBorders>
                  <w:shd w:fill="DCFCE7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Security in the database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not in the app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Row-level security on every tenant table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Column grants withhold PAN, Aadhaar, bank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Password policy enforced in SQL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audit_logs immutable by trigger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620"/>
                  <w:tcBorders>
                    <w:top w:val="single" w:color="166534" w:sz="4"/>
                    <w:left w:val="single" w:color="166534" w:sz="18"/>
                    <w:bottom w:val="single" w:color="166534" w:sz="4"/>
                    <w:right w:val="single" w:color="166534" w:sz="4"/>
                  </w:tcBorders>
                  <w:shd w:fill="DCFCE7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Business logic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SECURITY DEFINER functions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apply_leave · decide_leave_request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generate_payslip · generate_letter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update_task — permission is per-field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report_* — the seven company reports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620"/>
                  <w:tcBorders>
                    <w:top w:val="single" w:color="166534" w:sz="4"/>
                    <w:left w:val="single" w:color="166534" w:sz="18"/>
                    <w:bottom w:val="single" w:color="166534" w:sz="4"/>
                    <w:right w:val="single" w:color="166534" w:sz="4"/>
                  </w:tcBorders>
                  <w:shd w:fill="DCFCE7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  <w:vAlign w:val="top"/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Tables &amp; storage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one database, one backup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companies · users · employees · attendance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leave · salary structures · payslips · letters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projects · tasks · assets · policies · messages · files (bytea)</w:t>
                  </w:r>
                </w:p>
              </w:tc>
            </w:tr>
          </w:tbl>
          <w:p>
            <w:pPr>
              <w:spacing w:after="80" w:before="0" w:line="20" w:lineRule="atLeast"/>
            </w:pP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100"/>
            </w:tblGrid>
            <w:tr>
              <w:trPr>
                <w:cantSplit/>
              </w:trPr>
              <w:tc>
                <w:tcPr>
                  <w:tcW w:type="dxa" w:w="1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75569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4"/>
                      <w:sz w:val="19"/>
                      <w:szCs w:val="19"/>
                    </w:rPr>
                    <w:t xml:space="preserve">Infrastructure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BFD8CC"/>
                      <w:sz w:val="17"/>
                      <w:szCs w:val="17"/>
                    </w:rPr>
                    <w:t xml:space="preserve">     where each piece runs</w:t>
                  </w:r>
                </w:p>
              </w:tc>
            </w:tr>
          </w:tbl>
          <w:p>
            <w:pPr>
              <w:spacing w:after="70" w:before="0" w:line="20" w:lineRule="atLeast"/>
            </w:pPr>
          </w:p>
          <w:tbl>
            <w:tblPr>
              <w:tblW w:type="dxa" w:w="1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980"/>
              <w:gridCol w:w="300"/>
              <w:gridCol w:w="1980"/>
              <w:gridCol w:w="300"/>
              <w:gridCol w:w="1980"/>
              <w:gridCol w:w="300"/>
              <w:gridCol w:w="1980"/>
              <w:gridCol w:w="300"/>
              <w:gridCol w:w="1980"/>
            </w:tblGrid>
            <w:tr>
              <w:trPr>
                <w:cantSplit/>
              </w:trPr>
              <w:tc>
                <w:tcPr>
                  <w:tcW w:type="dxa" w:w="1980"/>
                  <w:tcBorders>
                    <w:top w:val="single" w:color="D8E0E6" w:sz="4"/>
                    <w:left w:val="single" w:color="D8E0E6" w:sz="4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80975" cy="1809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3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Vercel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web SPA + headers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▶</w:t>
                  </w:r>
                </w:p>
              </w:tc>
              <w:tc>
                <w:tcPr>
                  <w:tcW w:type="dxa" w:w="1980"/>
                  <w:tcBorders>
                    <w:top w:val="single" w:color="D8E0E6" w:sz="4"/>
                    <w:left w:val="single" w:color="D8E0E6" w:sz="4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80975" cy="1809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3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Render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hrms-api, /health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▶</w:t>
                  </w:r>
                </w:p>
              </w:tc>
              <w:tc>
                <w:tcPr>
                  <w:tcW w:type="dxa" w:w="1980"/>
                  <w:tcBorders>
                    <w:top w:val="single" w:color="D8E0E6" w:sz="4"/>
                    <w:left w:val="single" w:color="D8E0E6" w:sz="4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80975" cy="1809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3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Neon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PostgreSQL + RLS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▶</w:t>
                  </w:r>
                </w:p>
              </w:tc>
              <w:tc>
                <w:tcPr>
                  <w:tcW w:type="dxa" w:w="1980"/>
                  <w:tcBorders>
                    <w:top w:val="single" w:color="D8E0E6" w:sz="4"/>
                    <w:left w:val="single" w:color="D8E0E6" w:sz="4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80975" cy="1809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3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Expo EAS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app builds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▶</w:t>
                  </w:r>
                </w:p>
              </w:tc>
              <w:tc>
                <w:tcPr>
                  <w:tcW w:type="dxa" w:w="1980"/>
                  <w:tcBorders>
                    <w:top w:val="single" w:color="D8E0E6" w:sz="4"/>
                    <w:left w:val="single" w:color="D8E0E6" w:sz="4"/>
                    <w:bottom w:val="single" w:color="D8E0E6" w:sz="4"/>
                    <w:right w:val="single" w:color="D8E0E6" w:sz="4"/>
                  </w:tcBorders>
                  <w:shd w:fill="FFFFFF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80975" cy="1809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3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SMTP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per tenant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5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HRMS Modules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gated by subscription + role</w:t>
            </w: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16704C" w:sz="4"/>
                    <w:left w:val="single" w:color="16704C" w:sz="4"/>
                    <w:bottom w:val="single" w:color="16704C" w:sz="4"/>
                    <w:right w:val="single" w:color="16704C" w:sz="4"/>
                  </w:tcBorders>
                  <w:shd w:fill="E8F1ED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Mobile — 12 native modules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     plus Home, Check in and Messages</w:t>
                  </w:r>
                </w:p>
              </w:tc>
            </w:tr>
          </w:tbl>
          <w:p>
            <w:pPr>
              <w:spacing w:after="8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795"/>
              <w:gridCol w:w="100"/>
              <w:gridCol w:w="2795"/>
            </w:tblGrid>
            <w:tr>
              <w:trPr>
                <w:cantSplit/>
              </w:trPr>
              <w:tc>
                <w:tcPr>
                  <w:tcW w:type="dxa" w:w="2795"/>
                  <w:tcBorders>
                    <w:top w:val="single" w:color="D8E0E6" w:sz="4"/>
                    <w:left w:val="single" w:color="6366F1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People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directory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single" w:color="D8E0E6" w:sz="4"/>
                    <w:left w:val="single" w:color="0EA5E9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Tasks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board</w:t>
                  </w:r>
                </w:p>
              </w:tc>
            </w:tr>
            <w:tr>
              <w:trPr>
                <w:cantSplit/>
                <w:trHeight w:val="90" w:hRule="atLeast"/>
              </w:trPr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tcBorders>
                    <w:top w:val="single" w:color="D8E0E6" w:sz="4"/>
                    <w:left w:val="single" w:color="F59E0B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Leaves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apply · decide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single" w:color="D8E0E6" w:sz="4"/>
                    <w:left w:val="single" w:color="16A34A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Payslips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own · all</w:t>
                  </w:r>
                </w:p>
              </w:tc>
            </w:tr>
            <w:tr>
              <w:trPr>
                <w:cantSplit/>
                <w:trHeight w:val="90" w:hRule="atLeast"/>
              </w:trPr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tcBorders>
                    <w:top w:val="single" w:color="D8E0E6" w:sz="4"/>
                    <w:left w:val="single" w:color="8B5CF6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Projects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delivery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single" w:color="D8E0E6" w:sz="4"/>
                    <w:left w:val="single" w:color="0284C7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Attendance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biometric</w:t>
                  </w:r>
                </w:p>
              </w:tc>
            </w:tr>
            <w:tr>
              <w:trPr>
                <w:cantSplit/>
                <w:trHeight w:val="90" w:hRule="atLeast"/>
              </w:trPr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tcBorders>
                    <w:top w:val="single" w:color="D8E0E6" w:sz="4"/>
                    <w:left w:val="single" w:color="6366F1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Reporting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team view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single" w:color="D8E0E6" w:sz="4"/>
                    <w:left w:val="single" w:color="06B6D4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Assets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issued kit</w:t>
                  </w:r>
                </w:p>
              </w:tc>
            </w:tr>
            <w:tr>
              <w:trPr>
                <w:cantSplit/>
                <w:trHeight w:val="90" w:hRule="atLeast"/>
              </w:trPr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tcBorders>
                    <w:top w:val="single" w:color="D8E0E6" w:sz="4"/>
                    <w:left w:val="single" w:color="64748B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Policies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handbook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single" w:color="D8E0E6" w:sz="4"/>
                    <w:left w:val="single" w:color="D97706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Letters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five types</w:t>
                  </w:r>
                </w:p>
              </w:tc>
            </w:tr>
            <w:tr>
              <w:trPr>
                <w:cantSplit/>
                <w:trHeight w:val="90" w:hRule="atLeast"/>
              </w:trPr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tcBorders>
                    <w:top w:val="single" w:color="D8E0E6" w:sz="4"/>
                    <w:left w:val="single" w:color="F43F5E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Calendar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holidays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795"/>
                  <w:tcBorders>
                    <w:top w:val="single" w:color="D8E0E6" w:sz="4"/>
                    <w:left w:val="single" w:color="F97316" w:sz="1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75"/>
                    <w:left w:type="dxa" w:w="90"/>
                    <w:bottom w:type="dxa" w:w="75"/>
                    <w:right w:type="dxa" w:w="70"/>
                  </w:tcMar>
                  <w:vAlign w:val="center"/>
                </w:tcPr>
                <w:p>
                  <w:pPr>
                    <w:spacing w:after="24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Announcements</w:t>
                  </w:r>
                </w:p>
                <w:p>
                  <w:pPr>
                    <w:spacing w:after="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company</w:t>
                  </w:r>
                </w:p>
              </w:tc>
            </w:tr>
          </w:tbl>
          <w:p>
            <w:pPr>
              <w:spacing w:after="12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D8E0E6" w:sz="4"/>
                    <w:left w:val="single" w:color="D8E0E6" w:sz="4"/>
                    <w:bottom w:val="single" w:color="D8E0E6" w:sz="4"/>
                    <w:right w:val="single" w:color="D8E0E6" w:sz="4"/>
                  </w:tcBorders>
                  <w:shd w:fill="F3F8F5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Portal — 16 modules in the WebView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     payroll runs · recruitment · reports · company bank · settings</w:t>
                  </w:r>
                </w:p>
              </w:tc>
            </w:tr>
          </w:tbl>
          <w:p>
            <w:pPr>
              <w:spacing w:after="150" w:before="0" w:line="20" w:lineRule="atLeast"/>
            </w:pPr>
          </w:p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Security &amp; Compliance</w:t>
            </w: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166534" w:sz="4"/>
                    <w:left w:val="single" w:color="166534" w:sz="18"/>
                    <w:bottom w:val="single" w:color="166534" w:sz="4"/>
                    <w:right w:val="single" w:color="166534" w:sz="4"/>
                  </w:tcBorders>
                  <w:shd w:fill="DCFCE7" w:color="auto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</w:tcPr>
                <w:p>
                  <w:pPr>
                    <w:spacing w:after="70" w:before="0" w:line="23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9"/>
                      <w:szCs w:val="19"/>
                    </w:rPr>
                    <w:t xml:space="preserve">Enforced in the platform</w:t>
                  </w:r>
                </w:p>
                <w:tbl>
                  <w:tblPr>
                    <w:tblW w:type="dxa" w:w="5431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645"/>
                    <w:gridCol w:w="400"/>
                    <w:gridCol w:w="2386"/>
                  </w:tblGrid>
                  <w:tr>
                    <w:trPr>
                      <w:cantSplit/>
                    </w:trPr>
                    <w:tc>
                      <w:tcPr>
                        <w:tcW w:type="dxa" w:w="264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Tenant isolation by company_id</w:t>
                        </w:r>
                      </w:p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Row-level security</w:t>
                        </w:r>
                      </w:p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Role-based access control</w:t>
                        </w:r>
                      </w:p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Column grants on sensitive fields</w:t>
                        </w:r>
                      </w:p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Append-only audit logs</w:t>
                        </w:r>
                      </w:p>
                    </w:tc>
                    <w:tc>
                      <w:tcPr>
                        <w:tcW w:type="dxa" w:w="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 w:line="200" w:lineRule="atLeast"/>
                          <w:jc w:val="left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64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SMTP credentials encrypted</w:t>
                        </w:r>
                      </w:p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Rate limiting and login lockout</w:t>
                        </w:r>
                      </w:p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CSP, HSTS, X-Frame-Options: DENY</w:t>
                        </w:r>
                      </w:p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TLS end to end; no public file bucket</w:t>
                        </w:r>
                      </w:p>
                      <w:p>
                        <w:pPr>
                          <w:spacing w:after="26" w:before="0" w:line="190" w:lineRule="atLeast"/>
                          <w:ind w:left="170" w:hanging="170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166534"/>
                            <w:sz w:val="17"/>
                            <w:szCs w:val="17"/>
                          </w:rPr>
                          <w:t xml:space="preserve">✓ </w:t>
                        </w: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7"/>
                            <w:szCs w:val="17"/>
                          </w:rPr>
                          <w:t xml:space="preserve">JWT with a bounded lifetime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3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5985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</w:pPr>
                  <w:r>
                    <w:drawing>
                      <wp:inline distT="0" distB="0" distL="0" distR="0">
                        <wp:extent cx="142875" cy="142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FFFFFF"/>
                      <w:spacing w:val="24"/>
                      <w:sz w:val="19"/>
                      <w:szCs w:val="19"/>
                    </w:rPr>
                    <w:t xml:space="preserve">Email Flow (SMTP)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BFD8CC"/>
                      <w:sz w:val="17"/>
                      <w:szCs w:val="17"/>
                    </w:rPr>
                    <w:t xml:space="preserve">     outbound only</w:t>
                  </w:r>
                </w:p>
              </w:tc>
            </w:tr>
          </w:tbl>
          <w:p>
            <w:pPr>
              <w:spacing w:after="7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697"/>
              <w:gridCol w:w="300"/>
              <w:gridCol w:w="1697"/>
              <w:gridCol w:w="300"/>
              <w:gridCol w:w="1697"/>
            </w:tblGrid>
            <w:tr>
              <w:trPr>
                <w:cantSplit/>
              </w:trPr>
              <w:tc>
                <w:tcPr>
                  <w:tcW w:type="dxa" w:w="1697"/>
                  <w:tcBorders>
                    <w:top w:val="single" w:color="16704C" w:sz="4"/>
                    <w:left w:val="single" w:color="16704C" w:sz="4"/>
                    <w:bottom w:val="single" w:color="16704C" w:sz="4"/>
                    <w:right w:val="single" w:color="16704C" w:sz="4"/>
                  </w:tcBorders>
                  <w:shd w:fill="E8F1ED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80975" cy="1809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3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704C"/>
                      <w:sz w:val="19"/>
                      <w:szCs w:val="19"/>
                    </w:rPr>
                    <w:t xml:space="preserve">HRMS API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Nodemailer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▶</w:t>
                  </w:r>
                </w:p>
              </w:tc>
              <w:tc>
                <w:tcPr>
                  <w:tcW w:type="dxa" w:w="1697"/>
                  <w:tcBorders>
                    <w:top w:val="single" w:color="075985" w:sz="4"/>
                    <w:left w:val="single" w:color="075985" w:sz="4"/>
                    <w:bottom w:val="single" w:color="075985" w:sz="4"/>
                    <w:right w:val="single" w:color="075985" w:sz="4"/>
                  </w:tcBorders>
                  <w:shd w:fill="E0F2FE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80975" cy="1809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3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75985"/>
                      <w:sz w:val="19"/>
                      <w:szCs w:val="19"/>
                    </w:rPr>
                    <w:t xml:space="preserve">Tenant SMTP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Gmail · SendGrid · SES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16A34A"/>
                      <w:sz w:val="19"/>
                      <w:szCs w:val="19"/>
                    </w:rPr>
                    <w:t xml:space="preserve">▶</w:t>
                  </w:r>
                </w:p>
              </w:tc>
              <w:tc>
                <w:tcPr>
                  <w:tcW w:type="dxa" w:w="1697"/>
                  <w:tcBorders>
                    <w:top w:val="single" w:color="166534" w:sz="4"/>
                    <w:left w:val="single" w:color="166534" w:sz="4"/>
                    <w:bottom w:val="single" w:color="166534" w:sz="4"/>
                    <w:right w:val="single" w:color="166534" w:sz="4"/>
                  </w:tcBorders>
                  <w:shd w:fill="DCFCE7" w:color="auto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after="40" w:before="0" w:line="260" w:lineRule="atLeast"/>
                    <w:jc w:val="center"/>
                  </w:pPr>
                  <w:r>
                    <w:drawing>
                      <wp:inline distT="0" distB="0" distL="0" distR="0">
                        <wp:extent cx="180975" cy="1809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30" w:before="0" w:line="200" w:lineRule="atLeast"/>
                    <w:jc w:val="center"/>
                  </w:pP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166534"/>
                      <w:sz w:val="19"/>
                      <w:szCs w:val="19"/>
                    </w:rPr>
                    <w:t xml:space="preserve">Employee inbox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payslip · letter · reset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pBdr>
          <w:bottom w:val="single" w:color="0F4C34" w:sz="12"/>
        </w:pBdr>
        <w:spacing w:after="40" w:before="0" w:line="400" w:lineRule="atLeast"/>
      </w:pPr>
      <w:r>
        <w:drawing>
          <wp:inline distT="0" distB="0" distL="0" distR="0">
            <wp:extent cx="20955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0F172A"/>
          <w:sz w:val="34"/>
          <w:szCs w:val="34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4"/>
          <w:szCs w:val="34"/>
        </w:rPr>
        <w:t xml:space="preserve">Architecture Notes</w:t>
      </w:r>
      <w:r>
        <w:rPr>
          <w:rFonts w:ascii="Segoe UI" w:cs="Segoe UI" w:eastAsia="Segoe UI" w:hAnsi="Segoe U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      how to read the sheet, and what it does not contain</w:t>
      </w:r>
    </w:p>
    <w:p>
      <w:pPr>
        <w:spacing w:after="160" w:before="0" w:line="20" w:lineRule="atLeast"/>
      </w:pPr>
    </w:p>
    <w:tbl>
      <w:tblPr>
        <w:tblW w:type="dxa" w:w="224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145"/>
        <w:gridCol w:w="200"/>
        <w:gridCol w:w="11146"/>
      </w:tblGrid>
      <w:tr>
        <w:tc>
          <w:tcPr>
            <w:tcW w:type="dxa" w:w="111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8E0E6" w:sz="6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22"/>
                <w:szCs w:val="22"/>
              </w:rPr>
              <w:t xml:space="preserve">The path of one request</w:t>
            </w:r>
          </w:p>
          <w:p>
            <w:pPr>
              <w:keepNext w:val="false"/>
              <w:spacing w:after="130" w:before="60" w:line="264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4748B"/>
                <w:sz w:val="19"/>
                <w:szCs w:val="19"/>
              </w:rPr>
              <w:t xml:space="preserve">A leave approval, followed end to end. Every other write in the system takes the same route.</w:t>
            </w:r>
          </w:p>
          <w:p>
            <w:pPr>
              <w:spacing w:after="90" w:before="0" w:line="230" w:lineRule="atLeast"/>
              <w:ind w:left="320" w:hanging="32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1.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The phone sends POST /rpc/decide_leave_request with the bearer token issued at sign-in.</w:t>
            </w:r>
          </w:p>
          <w:p>
            <w:pPr>
              <w:spacing w:after="90" w:before="0" w:line="230" w:lineRule="atLeast"/>
              <w:ind w:left="320" w:hanging="32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2.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requireAuth verifies the JWT signature and expiry, and puts userId and companyId on the request.</w:t>
            </w:r>
          </w:p>
          <w:p>
            <w:pPr>
              <w:spacing w:after="90" w:before="0" w:line="230" w:lineRule="atLeast"/>
              <w:ind w:left="320" w:hanging="32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3.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The API rate limiter checks the caller has not exceeded its window. A refusal is a 429 with Retry-After.</w:t>
            </w:r>
          </w:p>
          <w:p>
            <w:pPr>
              <w:spacing w:after="90" w:before="0" w:line="230" w:lineRule="atLeast"/>
              <w:ind w:left="320" w:hanging="32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4.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withSession opens a transaction and stamps the identity onto that connection before any statement runs. This is the step that makes row-level security work on Neon — the database has no other way to know who is asking.</w:t>
            </w:r>
          </w:p>
          <w:p>
            <w:pPr>
              <w:spacing w:after="90" w:before="0" w:line="230" w:lineRule="atLeast"/>
              <w:ind w:left="320" w:hanging="32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5.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The function name is checked against the allow-list. An unknown name never reaches Postgres.</w:t>
            </w:r>
          </w:p>
          <w:p>
            <w:pPr>
              <w:spacing w:after="90" w:before="0" w:line="230" w:lineRule="atLeast"/>
              <w:ind w:left="320" w:hanging="32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6.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decide_leave_request runs as SECURITY DEFINER. It re-checks that the caller may decide this request, adjusts the balance and writes the decision atomically.</w:t>
            </w:r>
          </w:p>
          <w:p>
            <w:pPr>
              <w:spacing w:after="90" w:before="0" w:line="230" w:lineRule="atLeast"/>
              <w:ind w:left="320" w:hanging="32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7.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The transaction commits, the identity is cleared from the connection, and it returns to the pool. A connection never carries the previous caller's identity.</w:t>
            </w:r>
          </w:p>
          <w:p>
            <w:pPr>
              <w:spacing w:after="90" w:before="0" w:line="230" w:lineRule="atLeast"/>
              <w:ind w:left="320" w:hanging="32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8.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The email service picks up the decision event and sends through the tenant's own SMTP account. Delivery is logged; a failure to send never rolls back the decision.</w:t>
            </w:r>
          </w:p>
          <w:p>
            <w:pPr>
              <w:spacing w:after="180" w:before="0" w:line="20" w:lineRule="atLeast"/>
            </w:pPr>
          </w:p>
          <w:p>
            <w:pPr>
              <w:pBdr>
                <w:bottom w:val="single" w:color="D8E0E6" w:sz="6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22"/>
                <w:szCs w:val="22"/>
              </w:rPr>
              <w:t xml:space="preserve">Why the roles are not a single ladder</w:t>
            </w:r>
          </w:p>
          <w:p>
            <w:pPr>
              <w:keepNext w:val="false"/>
              <w:spacing w:after="100" w:before="60" w:line="264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Drawn as a chain, the hierarchy reads as though a Team Lead is a junior Project Manager and an Accounts Manager a junior HR Admin. Neither is true, and building permissions on that reading would hand each of them access they are deliberately denied.</w:t>
            </w:r>
          </w:p>
          <w:p>
            <w:pPr>
              <w:keepNext w:val="false"/>
              <w:spacing w:after="0" w:before="60" w:line="264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Employee is a baseline that every account holds. Project Manager, Team Lead and Accounts Manager are three specialist branches off it, and the administration band is a fourth. Seniority does not decide scope — reporting_manager does. And the split between bank.edit (HR-level) and bank.verify (Founder, Company Admin, Accounts Manager) exists precisely so that no single person can both enter and approve a bank account.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11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8E0E6" w:sz="6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22"/>
                <w:szCs w:val="22"/>
              </w:rPr>
              <w:t xml:space="preserve">What is deployed where</w:t>
            </w:r>
          </w:p>
          <w:tbl>
            <w:tblPr>
              <w:tblW w:type="dxa" w:w="11145"/>
              <w:tblBorders>
                <w:top w:val="single" w:color="0F4C34" w:sz="8"/>
                <w:left w:val="single" w:color="D8E0E6" w:sz="4"/>
                <w:bottom w:val="single" w:color="0F4C34" w:sz="8"/>
                <w:right w:val="single" w:color="D8E0E6" w:sz="4"/>
                <w:insideH w:val="single" w:color="D8E0E6" w:sz="4"/>
                <w:insideV w:val="single" w:color="D8E0E6" w:sz="4"/>
              </w:tblBorders>
            </w:tblPr>
            <w:tblGrid>
              <w:gridCol w:w="1700"/>
              <w:gridCol w:w="2100"/>
              <w:gridCol w:w="7345"/>
            </w:tblGrid>
            <w:tr>
              <w:trPr>
                <w:cantSplit/>
                <w:tblHeader/>
              </w:trPr>
              <w:tc>
                <w:tcPr>
                  <w:tcW w:type="dxa" w:w="1700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Piece</w:t>
                  </w:r>
                </w:p>
              </w:tc>
              <w:tc>
                <w:tcPr>
                  <w:tcW w:type="dxa" w:w="2100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Runs on</w:t>
                  </w:r>
                </w:p>
              </w:tc>
              <w:tc>
                <w:tcPr>
                  <w:tcW w:type="dxa" w:w="7345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Web portal</w:t>
                  </w:r>
                </w:p>
              </w:tc>
              <w:tc>
                <w:tcPr>
                  <w:tcW w:type="dxa" w:w="21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Vercel</w:t>
                  </w:r>
                </w:p>
              </w:tc>
              <w:tc>
                <w:tcPr>
                  <w:tcW w:type="dxa" w:w="7345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Static build of frontend/. Security headers and the /api rewrite come from vercel.json.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API</w:t>
                  </w:r>
                </w:p>
              </w:tc>
              <w:tc>
                <w:tcPr>
                  <w:tcW w:type="dxa" w:w="21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Render — hrms-api</w:t>
                  </w:r>
                </w:p>
              </w:tc>
              <w:tc>
                <w:tcPr>
                  <w:tcW w:type="dxa" w:w="7345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Node 22, rootDir server/. Health check at /health. Secrets stored by Render, never in git.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Database</w:t>
                  </w:r>
                </w:p>
              </w:tc>
              <w:tc>
                <w:tcPr>
                  <w:tcW w:type="dxa" w:w="21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Neon PostgreSQL</w:t>
                  </w:r>
                </w:p>
              </w:tc>
              <w:tc>
                <w:tcPr>
                  <w:tcW w:type="dxa" w:w="7345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Connected as hrms_app. The owner role is never used by the server — owners are exempt from RLS.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Mobile app</w:t>
                  </w:r>
                </w:p>
              </w:tc>
              <w:tc>
                <w:tcPr>
                  <w:tcW w:type="dxa" w:w="21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Expo EAS build</w:t>
                  </w:r>
                </w:p>
              </w:tc>
              <w:tc>
                <w:tcPr>
                  <w:tcW w:type="dxa" w:w="7345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Android APK and iOS build. Points at the API's permanent address, not a developer machine.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Email</w:t>
                  </w:r>
                </w:p>
              </w:tc>
              <w:tc>
                <w:tcPr>
                  <w:tcW w:type="dxa" w:w="21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Tenant's SMTP provider</w:t>
                  </w:r>
                </w:p>
              </w:tc>
              <w:tc>
                <w:tcPr>
                  <w:tcW w:type="dxa" w:w="7345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Gmail, Outlook, SendGrid or SES. Configured per company; credentials encrypted before storage.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Files</w:t>
                  </w:r>
                </w:p>
              </w:tc>
              <w:tc>
                <w:tcPr>
                  <w:tcW w:type="dxa" w:w="21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Inside Neon</w:t>
                  </w:r>
                </w:p>
              </w:tc>
              <w:tc>
                <w:tcPr>
                  <w:tcW w:type="dxa" w:w="7345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Photos and logos as bytea. One backup covers the whole system.</w:t>
                  </w:r>
                </w:p>
              </w:tc>
            </w:tr>
          </w:tbl>
          <w:p>
            <w:pPr>
              <w:spacing w:after="200" w:before="0" w:line="20" w:lineRule="atLeast"/>
            </w:pPr>
          </w:p>
          <w:p>
            <w:pPr>
              <w:pBdr>
                <w:bottom w:val="single" w:color="D8E0E6" w:sz="6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22"/>
                <w:szCs w:val="22"/>
              </w:rPr>
              <w:t xml:space="preserve">Deliberately not in the stack</w:t>
            </w:r>
          </w:p>
          <w:p>
            <w:pPr>
              <w:keepNext w:val="false"/>
              <w:spacing w:after="110" w:before="60" w:line="264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Two things commonly drawn on an architecture of this shape are absent, and their absence is a decision rather than an omission.</w:t>
            </w:r>
          </w:p>
          <w:tbl>
            <w:tblPr>
              <w:tblW w:type="dxa" w:w="11145"/>
              <w:tblBorders>
                <w:top w:val="single" w:color="0F4C34" w:sz="8"/>
                <w:left w:val="single" w:color="D8E0E6" w:sz="4"/>
                <w:bottom w:val="single" w:color="0F4C34" w:sz="8"/>
                <w:right w:val="single" w:color="D8E0E6" w:sz="4"/>
                <w:insideH w:val="single" w:color="D8E0E6" w:sz="4"/>
                <w:insideV w:val="single" w:color="D8E0E6" w:sz="4"/>
              </w:tblBorders>
            </w:tblPr>
            <w:tblGrid>
              <w:gridCol w:w="3000"/>
              <w:gridCol w:w="8145"/>
            </w:tblGrid>
            <w:tr>
              <w:trPr>
                <w:cantSplit/>
                <w:tblHeader/>
              </w:trPr>
              <w:tc>
                <w:tcPr>
                  <w:tcW w:type="dxa" w:w="3000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Not present</w:t>
                  </w:r>
                </w:p>
              </w:tc>
              <w:tc>
                <w:tcPr>
                  <w:tcW w:type="dxa" w:w="8145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Why, and when it would change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Redis — queue, cache, rate limiting</w:t>
                  </w:r>
                </w:p>
              </w:tc>
              <w:tc>
                <w:tcPr>
                  <w:tcW w:type="dxa" w:w="8145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Rate limiting runs in the API process, which is correct for one instance and wrong the moment a second one runs: the limits become per-instance. Email sends inline rather than through a queue. Redis is the first thing to add when the API scales past a single instance.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Object storage (S3 or equivalent)</w:t>
                  </w:r>
                </w:p>
              </w:tc>
              <w:tc>
                <w:tcPr>
                  <w:tcW w:type="dxa" w:w="8145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Files are small images and there are as many as there are employees, so Postgres is simpler — one backup, one set of policies, no bucket whose permissions can drift. It stops being reasonable for bulk documents or attachments; move to object storage then and keep only the metadata in Neon.</w:t>
                  </w:r>
                </w:p>
              </w:tc>
            </w:tr>
          </w:tbl>
          <w:p>
            <w:pPr>
              <w:spacing w:after="200" w:before="0" w:line="20" w:lineRule="atLeast"/>
            </w:pPr>
          </w:p>
          <w:p>
            <w:pPr>
              <w:pBdr>
                <w:bottom w:val="single" w:color="D8E0E6" w:sz="6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22"/>
                <w:szCs w:val="22"/>
              </w:rPr>
              <w:t xml:space="preserve">One correction to carry forward</w:t>
            </w:r>
          </w:p>
          <w:p>
            <w:pPr>
              <w:keepNext w:val="false"/>
              <w:spacing w:after="0" w:before="60" w:line="264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The repository README still describes the earlier design — a React SPA talking straight to Supabase, with no application server. That is no longer what runs. The server in server/src replaced Supabase's PostgREST and GoTrue, and neon/migrations is the live schema; supabase/ is history. This sheet documents what is deployed. The README should be brought into line with it.</w:t>
            </w:r>
          </w:p>
        </w:tc>
      </w:tr>
    </w:tbl>
    <w:sectPr>
      <w:footerReference w:type="default" r:id="rId7"/>
      <w:pgSz w:w="23811" w:h="16838" w:orient="landscape"/>
      <w:pgMar w:top="420" w:right="560" w:bottom="400" w:left="560" w:header="260" w:footer="2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22691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Whhoohh Path HRMS — System Architecture  ·  Confidential  ·  10 September 2026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Sheet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5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image" Target="media/c9e6ac1570e8acf4a084d2b68981519a4323210b.png"/><Relationship Id="rId10" Type="http://schemas.openxmlformats.org/officeDocument/2006/relationships/image" Target="media/a1d386bf5f13bab9347700f41642ed97dff814ba.png"/><Relationship Id="rId11" Type="http://schemas.openxmlformats.org/officeDocument/2006/relationships/image" Target="media/b4b84bfdd3c16380b0d0d5389e765aaf061c701e.png"/><Relationship Id="rId12" Type="http://schemas.openxmlformats.org/officeDocument/2006/relationships/image" Target="media/814492299e36e129ec02556e7a47b1ef2f006777.png"/><Relationship Id="rId13" Type="http://schemas.openxmlformats.org/officeDocument/2006/relationships/image" Target="media/e511382a0307148fabd29a829784f005e72a0c4c.png"/><Relationship Id="rId14" Type="http://schemas.openxmlformats.org/officeDocument/2006/relationships/image" Target="media/b3f5d43cefca2c5025af3c9d39b0df3f16a0fb1d.png"/><Relationship Id="rId15" Type="http://schemas.openxmlformats.org/officeDocument/2006/relationships/image" Target="media/be1bb508e696d4e1891a63d499a56f84dc79448c.png"/><Relationship Id="rId16" Type="http://schemas.openxmlformats.org/officeDocument/2006/relationships/image" Target="media/5b73dd0ce681129c682c06cf5616e2ac662256bc.png"/><Relationship Id="rId17" Type="http://schemas.openxmlformats.org/officeDocument/2006/relationships/image" Target="media/332b8d0051db96cf84138be07c88bc3ae094093d.png"/><Relationship Id="rId18" Type="http://schemas.openxmlformats.org/officeDocument/2006/relationships/image" Target="media/f35170f7e34f61fee5186fce650d7e1a54e2dec0.png"/><Relationship Id="rId19" Type="http://schemas.openxmlformats.org/officeDocument/2006/relationships/image" Target="media/adabcf370707c159f5922a206479ab7902c2fff3.png"/><Relationship Id="rId20" Type="http://schemas.openxmlformats.org/officeDocument/2006/relationships/image" Target="media/13bdcf2840a7f8131cab4dd2e404ac0d6a7ee0b8.png"/><Relationship Id="rId21" Type="http://schemas.openxmlformats.org/officeDocument/2006/relationships/image" Target="media/46abe96a45eebf2235c80c7bc94a8dad6b2c09f6.png"/><Relationship Id="rId22" Type="http://schemas.openxmlformats.org/officeDocument/2006/relationships/image" Target="media/621b62d9ccc79e21968aa723e2cf6bee9c41f74a.png"/><Relationship Id="rId23" Type="http://schemas.openxmlformats.org/officeDocument/2006/relationships/image" Target="media/30e69c519e79eae9cca0889d968883b2f17a4dc1.png"/><Relationship Id="rId24" Type="http://schemas.openxmlformats.org/officeDocument/2006/relationships/image" Target="media/ac843b60df9a841925f9e751265b00a8cfb774fc.png"/><Relationship Id="rId25" Type="http://schemas.openxmlformats.org/officeDocument/2006/relationships/image" Target="media/82931bf9983e844a834a18ee2cf5faa6a9c865ca.png"/><Relationship Id="rId26" Type="http://schemas.openxmlformats.org/officeDocument/2006/relationships/image" Target="media/34837681e46b35ab0e69f3be1a490672df88c546.png"/><Relationship Id="rId27" Type="http://schemas.openxmlformats.org/officeDocument/2006/relationships/image" Target="media/d0d25f3c83d831b1a7b60c35895e39dc3b57f77d.png"/><Relationship Id="rId28" Type="http://schemas.openxmlformats.org/officeDocument/2006/relationships/image" Target="media/a963a4b4d376dd9ac32540fc49814e07f81d4ebf.png"/><Relationship Id="rId29" Type="http://schemas.openxmlformats.org/officeDocument/2006/relationships/image" Target="media/8f37e7f4c9ce7de77e0e7ac759ae522c2763db9f.png"/><Relationship Id="rId30" Type="http://schemas.openxmlformats.org/officeDocument/2006/relationships/image" Target="media/1b28a32cbac78c47bfe9ba304f0055d7c006e612.png"/><Relationship Id="rId31" Type="http://schemas.openxmlformats.org/officeDocument/2006/relationships/image" Target="media/e9215f1805445444c63dc6d3b06efb1e7986fb30.png"/><Relationship Id="rId32" Type="http://schemas.openxmlformats.org/officeDocument/2006/relationships/image" Target="media/49ba60cfb3bfb0b68aea8457e38ec66080eb7759.png"/><Relationship Id="rId33" Type="http://schemas.openxmlformats.org/officeDocument/2006/relationships/image" Target="media/c8726f67d78c40c2808f7a5e821404d0ec6c6beb.png"/><Relationship Id="rId34" Type="http://schemas.openxmlformats.org/officeDocument/2006/relationships/image" Target="media/9d94c37967b0e1c35951f325ed4dd7efef8b8e29.png"/><Relationship Id="rId35" Type="http://schemas.openxmlformats.org/officeDocument/2006/relationships/image" Target="media/993b842f13ff19ccdfb692a69bdfd9fd335e3dd2.png"/><Relationship Id="rId36" Type="http://schemas.openxmlformats.org/officeDocument/2006/relationships/image" Target="media/97d1bf336a869cc764a34f812fc82a82db8daf67.png"/><Relationship Id="rId37" Type="http://schemas.openxmlformats.org/officeDocument/2006/relationships/image" Target="media/e85d073f4175ab93c8fc800eb8b8c3c93ddca0bd.png"/><Relationship Id="rId38" Type="http://schemas.openxmlformats.org/officeDocument/2006/relationships/image" Target="media/8b5fe2fa52f20015c8ede47dad9be20672fbbd34.png"/><Relationship Id="rId39" Type="http://schemas.openxmlformats.org/officeDocument/2006/relationships/image" Target="media/6db8e688febe765ff1ad5b136eed075595f83a6c.png"/><Relationship Id="rId40" Type="http://schemas.openxmlformats.org/officeDocument/2006/relationships/image" Target="media/ae109b0be22e7c03def0ea585c5f2839a8c8711a.png"/><Relationship Id="rId41" Type="http://schemas.openxmlformats.org/officeDocument/2006/relationships/image" Target="media/7adb9ab335d1688bda4bafed6fcab16ffcea7a56.png"/><Relationship Id="rId42" Type="http://schemas.openxmlformats.org/officeDocument/2006/relationships/image" Target="media/09922611d1d73fd645c5fd82ed8842eeb2ff4528.png"/><Relationship Id="rId43" Type="http://schemas.openxmlformats.org/officeDocument/2006/relationships/image" Target="media/2af472bb7a4fdc1e1f95914a137cf2a2d7fb9c7c.png"/><Relationship Id="rId44" Type="http://schemas.openxmlformats.org/officeDocument/2006/relationships/image" Target="media/5f158db515f9ab7949d1e0d515610722d7fc3fd6.png"/><Relationship Id="rId45" Type="http://schemas.openxmlformats.org/officeDocument/2006/relationships/image" Target="media/913abeca76c36b01a480dc867f19477a0b247697.png"/><Relationship Id="rId46" Type="http://schemas.openxmlformats.org/officeDocument/2006/relationships/image" Target="media/e8f0afee6212f71ff1759ecefee740311847aae9.png"/><Relationship Id="rId47" Type="http://schemas.openxmlformats.org/officeDocument/2006/relationships/image" Target="media/991808aaf76a80a9f6fb597e5bd6e95140e43255.png"/><Relationship Id="rId48" Type="http://schemas.openxmlformats.org/officeDocument/2006/relationships/image" Target="media/000a8c8e4a3f495948635cee0912639cbc3b89a7.png"/><Relationship Id="rId49" Type="http://schemas.openxmlformats.org/officeDocument/2006/relationships/image" Target="media/f437e91a83c5269640834ef9ac7196c99a9e0378.png"/><Relationship Id="rId50" Type="http://schemas.openxmlformats.org/officeDocument/2006/relationships/image" Target="media/056cc359b964a32c9763357353ecc834e6dee9db.png"/><Relationship Id="rId51" Type="http://schemas.openxmlformats.org/officeDocument/2006/relationships/image" Target="media/c67f9f8182d0453882e2268d9852cb3bb9b913af.png"/><Relationship Id="rId52" Type="http://schemas.openxmlformats.org/officeDocument/2006/relationships/image" Target="media/128d56edf67e99cf77e4adc377d52566e6c34cbc.png"/><Relationship Id="rId53" Type="http://schemas.openxmlformats.org/officeDocument/2006/relationships/image" Target="media/fb0e4c3ae7b16f7b339ec01894b8aa78dc2cccd1.png"/><Relationship Id="rId54" Type="http://schemas.openxmlformats.org/officeDocument/2006/relationships/image" Target="media/d1bdbc01f843f05feb45162f9f34746c47b3c8e6.png"/><Relationship Id="rId55" Type="http://schemas.openxmlformats.org/officeDocument/2006/relationships/image" Target="media/2961d4ea10825d61f0e783c3d7ddac03280c55a8.png"/><Relationship Id="rId56" Type="http://schemas.openxmlformats.org/officeDocument/2006/relationships/image" Target="media/a1f3c60757e54fc751d4a372a524e405b9569e2b.png"/><Relationship Id="rId57" Type="http://schemas.openxmlformats.org/officeDocument/2006/relationships/image" Target="media/367fe0f06f9431f160926826f06d6f8d373e12bb.png"/><Relationship Id="rId58" Type="http://schemas.openxmlformats.org/officeDocument/2006/relationships/image" Target="media/f103ded3bb0a13011da35f8bca4285f784e76f60.png"/><Relationship Id="rId59" Type="http://schemas.openxmlformats.org/officeDocument/2006/relationships/image" Target="media/2daa3a406e7ff3a8a8f76dfb9c12c71e26f9dab3.png"/><Relationship Id="rId60" Type="http://schemas.openxmlformats.org/officeDocument/2006/relationships/image" Target="media/cc8cd38e0c3684f146904190960c4317a1f015f0.png"/><Relationship Id="rId61" Type="http://schemas.openxmlformats.org/officeDocument/2006/relationships/image" Target="media/4f434fd7686062844def039b44ad6afe83f0d597.png"/><Relationship Id="rId62" Type="http://schemas.openxmlformats.org/officeDocument/2006/relationships/image" Target="media/c6e518403e704a8b7cb54916164e1baad2cf734d.png"/><Relationship Id="rId63" Type="http://schemas.openxmlformats.org/officeDocument/2006/relationships/image" Target="media/5f52ce5eb451747d9a8e99a3a8f485c9bdc8dad9.png"/><Relationship Id="rId64" Type="http://schemas.openxmlformats.org/officeDocument/2006/relationships/image" Target="media/2ad7f0af839205f11d6b0b526b02ef1ff43ac98b.png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Whhoohh Path HRMS — System Architecture</dc:title>
  <dc:creator>Whhoohh Path LLP</dc:creator>
  <dc:description>Role hierarchy, deployed stack, module surface and security posture for the Whhoohh Path HRMS.</dc:description>
  <cp:lastModifiedBy>Un-named</cp:lastModifiedBy>
  <cp:revision>1</cp:revision>
  <dcterms:created xsi:type="dcterms:W3CDTF">2026-09-10T06:21:53.314Z</dcterms:created>
  <dcterms:modified xsi:type="dcterms:W3CDTF">2026-09-10T06:21:53.315Z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