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028090"/>
          <w:spacing w:val="150"/>
          <w:sz w:val="22"/>
          <w:szCs w:val="22"/>
        </w:rPr>
        <w:t xml:space="preserve">W H I T E   P A P E R</w:t>
      </w:r>
    </w:p>
    <w:p>
      <w:pPr>
        <w:spacing w:after="120"/>
        <w:jc w:val="center"/>
      </w:pPr>
      <w:r>
        <w:rPr>
          <w:rFonts w:ascii="Arial" w:cs="Arial" w:eastAsia="Arial" w:hAnsi="Arial"/>
          <w:b/>
          <w:bCs/>
          <w:color w:val="0D1B2A"/>
          <w:sz w:val="68"/>
          <w:szCs w:val="68"/>
        </w:rPr>
        <w:t xml:space="preserve">ProcureMind OS™</w:t>
      </w:r>
    </w:p>
    <w:p>
      <w:pPr>
        <w:spacing w:after="100"/>
        <w:jc w:val="center"/>
      </w:pPr>
      <w:r>
        <w:rPr>
          <w:rFonts w:ascii="Arial" w:cs="Arial" w:eastAsia="Arial" w:hAnsi="Arial"/>
          <w:b/>
          <w:bCs/>
          <w:color w:val="334155"/>
          <w:sz w:val="36"/>
          <w:szCs w:val="36"/>
        </w:rPr>
        <w:t xml:space="preserve">Agentic Procurement Architecture:</w:t>
      </w:r>
    </w:p>
    <w:p>
      <w:pPr>
        <w:spacing w:after="440"/>
        <w:jc w:val="center"/>
      </w:pPr>
      <w:r>
        <w:rPr>
          <w:rFonts w:ascii="Georgia" w:cs="Georgia" w:eastAsia="Georgia" w:hAnsi="Georgia"/>
          <w:i/>
          <w:iCs/>
          <w:color w:val="334155"/>
          <w:sz w:val="34"/>
          <w:szCs w:val="34"/>
        </w:rPr>
        <w:t xml:space="preserve">From Proof-of-Concept to Enterprise Production</w:t>
      </w:r>
    </w:p>
    <w:p>
      <w:pPr>
        <w:pBdr>
          <w:bottom w:val="single" w:color="028090" w:sz="6" w:space="1"/>
        </w:pBdr>
        <w:spacing w:after="240"/>
      </w:pPr>
      <w:r>
        <w:t xml:space="preserve"/>
      </w:r>
    </w:p>
    <w:p>
      <w:pPr>
        <w:spacing w:after="80"/>
        <w:jc w:val="center"/>
      </w:pPr>
      <w:r>
        <w:rPr>
          <w:rFonts w:ascii="Arial" w:cs="Arial" w:eastAsia="Arial" w:hAnsi="Arial"/>
          <w:b/>
          <w:bCs/>
          <w:color w:val="0D1B2A"/>
          <w:sz w:val="28"/>
          <w:szCs w:val="28"/>
        </w:rPr>
        <w:t xml:space="preserve">Ganesh Prasad Bhandari</w:t>
      </w:r>
    </w:p>
    <w:p>
      <w:pPr>
        <w:spacing w:after="80"/>
        <w:jc w:val="center"/>
      </w:pPr>
      <w:r>
        <w:rPr>
          <w:rFonts w:ascii="Georgia" w:cs="Georgia" w:eastAsia="Georgia" w:hAnsi="Georgia"/>
          <w:color w:val="334155"/>
          <w:sz w:val="23"/>
          <w:szCs w:val="23"/>
        </w:rPr>
        <w:t xml:space="preserve">AI Architect  —  AllnovateHub</w:t>
      </w:r>
    </w:p>
    <w:p>
      <w:pPr>
        <w:spacing w:after="400"/>
        <w:jc w:val="center"/>
      </w:pPr>
      <w:r>
        <w:rPr>
          <w:rFonts w:ascii="Georgia" w:cs="Georgia" w:eastAsia="Georgia" w:hAnsi="Georgia"/>
          <w:color w:val="334155"/>
          <w:sz w:val="23"/>
          <w:szCs w:val="23"/>
        </w:rPr>
        <w:t xml:space="preserve">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200"/>
              <w:left w:type="dxa" w:w="280"/>
              <w:bottom w:type="dxa" w:w="200"/>
              <w:right w:type="dxa" w:w="280"/>
            </w:tcMar>
          </w:tcPr>
          <w:p>
            <w:pPr>
              <w:spacing w:after="100"/>
            </w:pPr>
            <w:r>
              <w:rPr>
                <w:rFonts w:ascii="Arial" w:cs="Arial" w:eastAsia="Arial" w:hAnsi="Arial"/>
                <w:b/>
                <w:bCs/>
                <w:color w:val="0D1B2A"/>
                <w:sz w:val="25"/>
                <w:szCs w:val="25"/>
              </w:rPr>
              <w:t xml:space="preserve">Abstract</w:t>
            </w:r>
          </w:p>
          <w:p>
            <w:pPr>
              <w:spacing w:after="0"/>
            </w:pPr>
            <w:r>
              <w:rPr>
                <w:rFonts w:ascii="Georgia" w:cs="Georgia" w:eastAsia="Georgia" w:hAnsi="Georgia"/>
                <w:color w:val="334155"/>
                <w:sz w:val="22"/>
                <w:szCs w:val="22"/>
              </w:rPr>
              <w:t xml:space="preserve">Enterprise procurement operates at the convergence of financial exposure, supplier relationships, regulatory obligation, and time pressure. Most organizations still respond to that complexity with manual processes that were adequate for simpler times but are no longer sufficient at enterprise scale. This paper introduces ProcureMind OS™, a production architecture for autonomous procurement intelligence that integrates specialist AI agents, relational knowledge graphs, dual-strategy retrieval, and human-in-the-loop governance into a coherent operational system. The architecture is presented as a design blueprint grounded in established patterns from retrieval-augmented generation, multi-agent coordination, and production MLOps. Claims regarding performance targets such as sub-500ms latency and real-time decision quality are design assumptions that reflect current infrastructure capabilities under controlled conditions; they are not the output of independent benchmarking and should be validated against the specific integration profile of any deployment environment. The goal of this paper is to give enterprise practitioners a sufficiently detailed architecture reference to evaluate feasibility, scope implementation work, and understand the governance model before committing to a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1  —  The Problem</w:t>
            </w:r>
          </w:p>
        </w:tc>
      </w:tr>
    </w:tbl>
    <w:p>
      <w:r>
        <w:t xml:space="preserve"/>
      </w:r>
    </w:p>
    <w:p>
      <w:pPr>
        <w:pStyle w:val="Heading1"/>
      </w:pPr>
      <w:r>
        <w:rPr>
          <w:b/>
          <w:bCs/>
        </w:rPr>
        <w:t xml:space="preserve">Procurement Has Outgrown Its Tools</w:t>
      </w:r>
    </w:p>
    <w:p>
      <w:pPr>
        <w:spacing w:after="180" w:line="280"/>
      </w:pPr>
      <w:r>
        <w:rPr>
          <w:rFonts w:ascii="Georgia" w:cs="Georgia" w:eastAsia="Georgia" w:hAnsi="Georgia"/>
          <w:color w:val="1A1A1A"/>
          <w:sz w:val="23"/>
          <w:szCs w:val="23"/>
        </w:rPr>
        <w:t xml:space="preserve">The situation that motivated this architecture is not unusual. A plant manager contacts procurement at nine-thirty on a Tuesday evening. He needs five hundred industrial sensors in thirty days. If the order is not placed in time, a production line goes down.</w:t>
      </w:r>
    </w:p>
    <w:p>
      <w:pPr>
        <w:spacing w:after="180" w:line="280"/>
      </w:pPr>
      <w:r>
        <w:rPr>
          <w:rFonts w:ascii="Georgia" w:cs="Georgia" w:eastAsia="Georgia" w:hAnsi="Georgia"/>
          <w:color w:val="1A1A1A"/>
          <w:sz w:val="23"/>
          <w:szCs w:val="23"/>
        </w:rPr>
        <w:t xml:space="preserve">The procurement team opens vendor portals. Someone pulls a three-year-old contract PDF to check terms. Someone else retrieves last year's purchase order from the ERP. Finance asks why one quote is twelve percent above the prior one. A compliance officer flags that one candidate supplier ships from a region currently subject to export restrictions. Legal says the clause review will require time nobody has.</w:t>
      </w:r>
    </w:p>
    <w:p>
      <w:pPr>
        <w:spacing w:after="180" w:line="280"/>
      </w:pPr>
      <w:r>
        <w:rPr>
          <w:rFonts w:ascii="Georgia" w:cs="Georgia" w:eastAsia="Georgia" w:hAnsi="Georgia"/>
          <w:color w:val="1A1A1A"/>
          <w:sz w:val="23"/>
          <w:szCs w:val="23"/>
        </w:rPr>
        <w:t xml:space="preserve">The plant manager does not care about any of that. He cares about uptime.</w:t>
      </w:r>
    </w:p>
    <w:p>
      <w:pPr>
        <w:spacing w:after="180" w:line="280"/>
      </w:pPr>
      <w:r>
        <w:rPr>
          <w:rFonts w:ascii="Georgia" w:cs="Georgia" w:eastAsia="Georgia" w:hAnsi="Georgia"/>
          <w:color w:val="1A1A1A"/>
          <w:sz w:val="23"/>
          <w:szCs w:val="23"/>
        </w:rPr>
        <w:t xml:space="preserve">This scenario plays out in some variation at virtually every large manufacturing, pharmaceutical, infrastructure, and technology company. The frustration it produces is real, but the root cause is often misidentified. The problem is not that the people involved are slow or careless. The problem is that the complexity of a serious procurement decision — supplier financial health, geopolitical exposure, contract clause risk, pricing drift, jurisdiction-specific compliance rules, multi-department approval chains — is being managed with tools that were designed for a simpler, more predictable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The information needed to make a good procurement decision usually exists somewhere in the organization. The gap is that it lives in ten different systems, arrives in the wrong sequence, and requires manual assembly before any actual reasoning can begin.</w:t>
            </w:r>
          </w:p>
        </w:tc>
      </w:tr>
    </w:tbl>
    <w:p>
      <w:r>
        <w:t xml:space="preserve"/>
      </w:r>
    </w:p>
    <w:p>
      <w:pPr>
        <w:pStyle w:val="Heading2"/>
      </w:pPr>
      <w:r>
        <w:rPr>
          <w:b/>
          <w:bCs/>
        </w:rPr>
        <w:t xml:space="preserve">Where the Current Process Breaks Down</w:t>
      </w:r>
    </w:p>
    <w:p>
      <w:pPr>
        <w:spacing w:after="180" w:line="280"/>
      </w:pPr>
      <w:r>
        <w:rPr>
          <w:rFonts w:ascii="Georgia" w:cs="Georgia" w:eastAsia="Georgia" w:hAnsi="Georgia"/>
          <w:color w:val="1A1A1A"/>
          <w:sz w:val="23"/>
          <w:szCs w:val="23"/>
        </w:rPr>
        <w:t xml:space="preserve">Four failure patterns appear consistently when procurement workflows are mapped in detail:</w:t>
      </w:r>
    </w:p>
    <w:p>
      <w:pPr>
        <w:pStyle w:val="ListParagraph"/>
        <w:numPr>
          <w:ilvl w:val="0"/>
          <w:numId w:val="2"/>
        </w:numPr>
        <w:spacing w:after="100"/>
      </w:pPr>
      <w:r>
        <w:rPr>
          <w:rFonts w:ascii="Georgia" w:cs="Georgia" w:eastAsia="Georgia" w:hAnsi="Georgia"/>
          <w:color w:val="1A1A1A"/>
          <w:sz w:val="22"/>
          <w:szCs w:val="22"/>
        </w:rPr>
        <w:t xml:space="preserve">Market intelligence arrives after the shortlist has already formed, rather than informing it</w:t>
      </w:r>
    </w:p>
    <w:p>
      <w:pPr>
        <w:pStyle w:val="ListParagraph"/>
        <w:numPr>
          <w:ilvl w:val="0"/>
          <w:numId w:val="2"/>
        </w:numPr>
        <w:spacing w:after="100"/>
      </w:pPr>
      <w:r>
        <w:rPr>
          <w:rFonts w:ascii="Georgia" w:cs="Georgia" w:eastAsia="Georgia" w:hAnsi="Georgia"/>
          <w:color w:val="1A1A1A"/>
          <w:sz w:val="22"/>
          <w:szCs w:val="22"/>
        </w:rPr>
        <w:t xml:space="preserve">Supplier risk is discovered during contract finalization rather than during vendor selection</w:t>
      </w:r>
    </w:p>
    <w:p>
      <w:pPr>
        <w:pStyle w:val="ListParagraph"/>
        <w:numPr>
          <w:ilvl w:val="0"/>
          <w:numId w:val="2"/>
        </w:numPr>
        <w:spacing w:after="100"/>
      </w:pPr>
      <w:r>
        <w:rPr>
          <w:rFonts w:ascii="Georgia" w:cs="Georgia" w:eastAsia="Georgia" w:hAnsi="Georgia"/>
          <w:color w:val="1A1A1A"/>
          <w:sz w:val="22"/>
          <w:szCs w:val="22"/>
        </w:rPr>
        <w:t xml:space="preserve">Price benchmarking depends on individual expertise and spreadsheet memory rather than current market data</w:t>
      </w:r>
    </w:p>
    <w:p>
      <w:pPr>
        <w:pStyle w:val="ListParagraph"/>
        <w:numPr>
          <w:ilvl w:val="0"/>
          <w:numId w:val="2"/>
        </w:numPr>
        <w:spacing w:after="100"/>
      </w:pPr>
      <w:r>
        <w:rPr>
          <w:rFonts w:ascii="Georgia" w:cs="Georgia" w:eastAsia="Georgia" w:hAnsi="Georgia"/>
          <w:color w:val="1A1A1A"/>
          <w:sz w:val="22"/>
          <w:szCs w:val="22"/>
        </w:rPr>
        <w:t xml:space="preserve">Contract review takes weeks because the context required to interpret a clause is distributed across multiple disconnected systems</w:t>
      </w:r>
    </w:p>
    <w:p>
      <w:r>
        <w:t xml:space="preserve"/>
      </w:r>
    </w:p>
    <w:p>
      <w:pPr>
        <w:spacing w:after="180" w:line="280"/>
      </w:pPr>
      <w:r>
        <w:rPr>
          <w:rFonts w:ascii="Georgia" w:cs="Georgia" w:eastAsia="Georgia" w:hAnsi="Georgia"/>
          <w:color w:val="1A1A1A"/>
          <w:sz w:val="23"/>
          <w:szCs w:val="23"/>
        </w:rPr>
        <w:t xml:space="preserve">Each of these is an architecture failure, not a process failure. The process is usually doing the best it can given what the tools provide. What is needed is an architecture that brings intelligence earlier and positions humans at the decision points where their judgment genuinely matters, rather than at the data-assembly steps that precede those decisions.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2  —  Scope and Validation Boundary</w:t>
            </w:r>
          </w:p>
        </w:tc>
      </w:tr>
    </w:tbl>
    <w:p>
      <w:r>
        <w:t xml:space="preserve"/>
      </w:r>
    </w:p>
    <w:p>
      <w:pPr>
        <w:pStyle w:val="Heading1"/>
      </w:pPr>
      <w:r>
        <w:rPr>
          <w:b/>
          <w:bCs/>
        </w:rPr>
        <w:t xml:space="preserve">What This Paper Is and What It Is Not</w:t>
      </w:r>
    </w:p>
    <w:p>
      <w:pPr>
        <w:spacing w:after="180" w:line="280"/>
      </w:pPr>
      <w:r>
        <w:rPr>
          <w:rFonts w:ascii="Georgia" w:cs="Georgia" w:eastAsia="Georgia" w:hAnsi="Georgia"/>
          <w:color w:val="1A1A1A"/>
          <w:sz w:val="23"/>
          <w:szCs w:val="23"/>
        </w:rPr>
        <w:t xml:space="preserve">Before describing the architecture in detail, it is worth being direct about what kind of contribution this paper makes and where its claims are grounded.</w:t>
      </w:r>
    </w:p>
    <w:p>
      <w:pPr>
        <w:spacing w:after="180" w:line="280"/>
      </w:pPr>
      <w:r>
        <w:rPr>
          <w:rFonts w:ascii="Georgia" w:cs="Georgia" w:eastAsia="Georgia" w:hAnsi="Georgia"/>
          <w:color w:val="1A1A1A"/>
          <w:sz w:val="23"/>
          <w:szCs w:val="23"/>
        </w:rPr>
        <w:t xml:space="preserve">ProcureMind OS is an enterprise architecture blueprint. It is an original synthesis that combines established components — retrieval-augmented generation, knowledge graph construction, multi-agent coordination, evaluation layers, human-in-the-loop governance, and enterprise MLOps — into a coherent design pattern for autonomous procurement intelligence. The synthesis itself, and its application to the specific domain constraints of enterprise procurement, is the contribution.</w:t>
      </w:r>
    </w:p>
    <w:p>
      <w:pPr>
        <w:spacing w:after="180" w:line="280"/>
      </w:pPr>
      <w:r>
        <w:rPr>
          <w:rFonts w:ascii="Georgia" w:cs="Georgia" w:eastAsia="Georgia" w:hAnsi="Georgia"/>
          <w:color w:val="1A1A1A"/>
          <w:sz w:val="23"/>
          <w:szCs w:val="23"/>
        </w:rPr>
        <w:t xml:space="preserve">The underlying technical components this architecture assembles are not new inventions. Retrieval-augmented generation was introduced by Lewis et al. (2020) and has since been refined substantially in applied research. Self-reflective retrieval was formalized by Asai et al. (2023). Multi-agent coordination frameworks including LangGraph are mature and in active enterprise use. The architecture's originality is in how these pieces are combined, sequenced, and governed to satisfy the specific requirements of procurement: policy enforcement, financial thresholds, auditability, supplier fairness, and integration with ERP systems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D97706" w:sz="16"/>
              <w:bottom w:val="single" w:color="CCCCCC" w:sz="1"/>
              <w:right w:val="none" w:color="FFFFFF" w:sz="0"/>
            </w:tcBorders>
            <w:shd w:fill="FFFBE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FFFBEB" w:val="clear"/>
            <w:tcMar>
              <w:top w:type="dxa" w:w="140"/>
              <w:left w:type="dxa" w:w="200"/>
              <w:bottom w:type="dxa" w:w="140"/>
              <w:right w:type="dxa" w:w="200"/>
            </w:tcMar>
          </w:tcPr>
          <w:p>
            <w:pPr>
              <w:spacing w:after="0"/>
            </w:pPr>
            <w:r>
              <w:rPr>
                <w:rFonts w:ascii="Georgia" w:cs="Georgia" w:eastAsia="Georgia" w:hAnsi="Georgia"/>
                <w:i/>
                <w:iCs/>
                <w:color w:val="92400E"/>
                <w:sz w:val="22"/>
                <w:szCs w:val="22"/>
              </w:rPr>
              <w:t xml:space="preserve">This is an architecture synthesis for enterprise procurement. It should be evaluated as such — not as a paper claiming new algorithmic breakthroughs, and not as an empirical study reporting measured outcomes from a deployed system.</w:t>
            </w:r>
          </w:p>
        </w:tc>
      </w:tr>
    </w:tbl>
    <w:p>
      <w:r>
        <w:t xml:space="preserve"/>
      </w:r>
    </w:p>
    <w:p>
      <w:pPr>
        <w:pStyle w:val="Heading2"/>
      </w:pPr>
      <w:r>
        <w:rPr>
          <w:b/>
          <w:bCs/>
        </w:rPr>
        <w:t xml:space="preserve">On Performance Claims</w:t>
      </w:r>
    </w:p>
    <w:p>
      <w:pPr>
        <w:spacing w:after="180" w:line="280"/>
      </w:pPr>
      <w:r>
        <w:rPr>
          <w:rFonts w:ascii="Georgia" w:cs="Georgia" w:eastAsia="Georgia" w:hAnsi="Georgia"/>
          <w:color w:val="1A1A1A"/>
          <w:sz w:val="23"/>
          <w:szCs w:val="23"/>
        </w:rPr>
        <w:t xml:space="preserve">Several specific performance targets appear in this paper, including a latency target of under 500 milliseconds per agent decision cycle and references to real-time decision quality monitoring. These are design-level targets, not independently validated benchmarks.</w:t>
      </w:r>
    </w:p>
    <w:p>
      <w:pPr>
        <w:spacing w:after="180" w:line="280"/>
      </w:pPr>
      <w:r>
        <w:rPr>
          <w:rFonts w:ascii="Georgia" w:cs="Georgia" w:eastAsia="Georgia" w:hAnsi="Georgia"/>
          <w:color w:val="1A1A1A"/>
          <w:sz w:val="23"/>
          <w:szCs w:val="23"/>
        </w:rPr>
        <w:t xml:space="preserve">The 500ms target is achievable under the described infrastructure configuration — containerized GPU inference, pre-warmed vector index, graph query caching — for procurement decisions that do not require full re-retrieval on every call. It is not achievable in all deployment configurations, particularly in environments with legacy ERP integrations, high retrieval complexity, or cold-start conditions. Any implementation should validate latency against its own integration profile before committing to SLA-level targets.</w:t>
      </w:r>
    </w:p>
    <w:p>
      <w:pPr>
        <w:spacing w:after="180" w:line="280"/>
      </w:pPr>
      <w:r>
        <w:rPr>
          <w:rFonts w:ascii="Georgia" w:cs="Georgia" w:eastAsia="Georgia" w:hAnsi="Georgia"/>
          <w:color w:val="1A1A1A"/>
          <w:sz w:val="23"/>
          <w:szCs w:val="23"/>
        </w:rPr>
        <w:t xml:space="preserve">Similarly, claims about decision quality improvements should be understood as directional design goals. Measuring actual decision quality in procurement requires agreed-upon ground truth, longitudinal outcome tracking, and comparison against a baseline — all of which are implementation-specific and cannot be generalized from the architecture specification alone.</w:t>
      </w:r>
    </w:p>
    <w:p>
      <w:r>
        <w:t xml:space="preserve"/>
      </w:r>
    </w:p>
    <w:p>
      <w:pPr>
        <w:pStyle w:val="Heading2"/>
      </w:pPr>
      <w:r>
        <w:rPr>
          <w:b/>
          <w:bCs/>
        </w:rPr>
        <w:t xml:space="preserve">Intended Audience</w:t>
      </w:r>
    </w:p>
    <w:p>
      <w:pPr>
        <w:spacing w:after="180" w:line="280"/>
      </w:pPr>
      <w:r>
        <w:rPr>
          <w:rFonts w:ascii="Georgia" w:cs="Georgia" w:eastAsia="Georgia" w:hAnsi="Georgia"/>
          <w:color w:val="1A1A1A"/>
          <w:sz w:val="23"/>
          <w:szCs w:val="23"/>
        </w:rPr>
        <w:t xml:space="preserve">This paper is written for enterprise practitioners — AI architects, procurement technology leaders, CTOs, and senior engineers — who are evaluating whether an agentic architecture is the right approach for their procurement function and who need enough technical detail to assess implementation feasibility. It is not primarily aimed at a machine learning research audience, though the architecture engages with current research on RAG, agent reasoning, and MLOps throughout.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3  —  Architecture Vision</w:t>
            </w:r>
          </w:p>
        </w:tc>
      </w:tr>
    </w:tbl>
    <w:p>
      <w:r>
        <w:t xml:space="preserve"/>
      </w:r>
    </w:p>
    <w:p>
      <w:pPr>
        <w:pStyle w:val="Heading1"/>
      </w:pPr>
      <w:r>
        <w:rPr>
          <w:b/>
          <w:bCs/>
        </w:rPr>
        <w:t xml:space="preserve">From Manual Transactions to Decision Intelligence</w:t>
      </w:r>
    </w:p>
    <w:p>
      <w:pPr>
        <w:spacing w:after="180" w:line="280"/>
      </w:pPr>
      <w:r>
        <w:rPr>
          <w:rFonts w:ascii="Georgia" w:cs="Georgia" w:eastAsia="Georgia" w:hAnsi="Georgia"/>
          <w:color w:val="1A1A1A"/>
          <w:sz w:val="23"/>
          <w:szCs w:val="23"/>
        </w:rPr>
        <w:t xml:space="preserve">The shift ProcureMind OS enables is not primarily about speed, although faster cycle times are a side effect. It is about moving intelligence earlier in the workflow so that when a procurement decision is made, it is informed by current market data, complete supplier context, applicable compliance constraints, and relevant contract history — assembled automatically, not manually.</w:t>
      </w:r>
    </w:p>
    <w:p>
      <w:pPr>
        <w:spacing w:after="180" w:line="280"/>
      </w:pPr>
      <w:r>
        <w:rPr>
          <w:rFonts w:ascii="Georgia" w:cs="Georgia" w:eastAsia="Georgia" w:hAnsi="Georgia"/>
          <w:color w:val="1A1A1A"/>
          <w:sz w:val="23"/>
          <w:szCs w:val="23"/>
        </w:rPr>
        <w:t xml:space="preserve">In practical terms, this means specialist AI agents continuously monitor supply markets, score vendor risk using real-time data feeds, benchmark pricing against current indices, identify compliance exposures before shortlisting begins, and flag contract clause risks before negotiation. The human procurement professional enters the workflow at the point where a structured recommendation is ready for review, not at the point where raw data needs to be assembled.</w:t>
      </w:r>
    </w:p>
    <w:p>
      <w:pPr>
        <w:spacing w:after="180" w:line="280"/>
      </w:pPr>
      <w:r>
        <w:rPr>
          <w:rFonts w:ascii="Georgia" w:cs="Georgia" w:eastAsia="Georgia" w:hAnsi="Georgia"/>
          <w:color w:val="1A1A1A"/>
          <w:sz w:val="23"/>
          <w:szCs w:val="23"/>
        </w:rPr>
        <w:t xml:space="preserve">The distinction between automation and intelligent automation matters here. Automation replaces a human step with a mechanical one. Intelligent automation replaces the data assembly work so that the human step that remains is a better, more informed version of what the human was already doing. ProcureMind OS is designed around the second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spacing w:after="100"/>
            </w:pPr>
            <w:r>
              <w:rPr>
                <w:rFonts w:ascii="Arial" w:cs="Arial" w:eastAsia="Arial" w:hAnsi="Arial"/>
                <w:b/>
                <w:bCs/>
                <w:color w:val="0D1B2A"/>
                <w:sz w:val="22"/>
                <w:szCs w:val="22"/>
              </w:rPr>
              <w:t xml:space="preserve">Traditional Procurement Workflow</w:t>
            </w:r>
          </w:p>
          <w:p>
            <w:pPr>
              <w:spacing w:after="80"/>
            </w:pPr>
            <w:r>
              <w:rPr>
                <w:rFonts w:ascii="Georgia" w:cs="Georgia" w:eastAsia="Georgia" w:hAnsi="Georgia"/>
                <w:color w:val="334155"/>
                <w:sz w:val="20"/>
                <w:szCs w:val="20"/>
              </w:rPr>
              <w:t xml:space="preserve">•  Reactive: waits for a request before beginning research</w:t>
            </w:r>
          </w:p>
          <w:p>
            <w:pPr>
              <w:spacing w:after="80"/>
            </w:pPr>
            <w:r>
              <w:rPr>
                <w:rFonts w:ascii="Georgia" w:cs="Georgia" w:eastAsia="Georgia" w:hAnsi="Georgia"/>
                <w:color w:val="334155"/>
                <w:sz w:val="20"/>
                <w:szCs w:val="20"/>
              </w:rPr>
              <w:t xml:space="preserve">•  Risk discovered after the shortlist is formed</w:t>
            </w:r>
          </w:p>
          <w:p>
            <w:pPr>
              <w:spacing w:after="80"/>
            </w:pPr>
            <w:r>
              <w:rPr>
                <w:rFonts w:ascii="Georgia" w:cs="Georgia" w:eastAsia="Georgia" w:hAnsi="Georgia"/>
                <w:color w:val="334155"/>
                <w:sz w:val="20"/>
                <w:szCs w:val="20"/>
              </w:rPr>
              <w:t xml:space="preserve">•  Compliance checked at contract stage</w:t>
            </w:r>
          </w:p>
          <w:p>
            <w:pPr>
              <w:spacing w:after="80"/>
            </w:pPr>
            <w:r>
              <w:rPr>
                <w:rFonts w:ascii="Georgia" w:cs="Georgia" w:eastAsia="Georgia" w:hAnsi="Georgia"/>
                <w:color w:val="334155"/>
                <w:sz w:val="20"/>
                <w:szCs w:val="20"/>
              </w:rPr>
              <w:t xml:space="preserve">•  Benchmarking relies on individual expertise and memory</w:t>
            </w:r>
          </w:p>
          <w:p>
            <w:pPr>
              <w:spacing w:after="80"/>
            </w:pPr>
            <w:r>
              <w:rPr>
                <w:rFonts w:ascii="Georgia" w:cs="Georgia" w:eastAsia="Georgia" w:hAnsi="Georgia"/>
                <w:color w:val="334155"/>
                <w:sz w:val="20"/>
                <w:szCs w:val="20"/>
              </w:rPr>
              <w:t xml:space="preserve">•  Audit trail reconstructed after the fact</w:t>
            </w:r>
          </w:p>
          <w:p>
            <w:pPr>
              <w:spacing w:after="80"/>
            </w:pPr>
            <w:r>
              <w:rPr>
                <w:rFonts w:ascii="Georgia" w:cs="Georgia" w:eastAsia="Georgia" w:hAnsi="Georgia"/>
                <w:color w:val="334155"/>
                <w:sz w:val="20"/>
                <w:szCs w:val="20"/>
              </w:rPr>
              <w:t xml:space="preserve">•  Knowledge walks out the door when senior staff leave</w:t>
            </w:r>
          </w:p>
        </w:tc>
        <w:tc>
          <w:tcPr>
            <w:tcW w:type="dxa" w:w="468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pPr>
              <w:spacing w:after="100"/>
            </w:pPr>
            <w:r>
              <w:rPr>
                <w:rFonts w:ascii="Arial" w:cs="Arial" w:eastAsia="Arial" w:hAnsi="Arial"/>
                <w:b/>
                <w:bCs/>
                <w:color w:val="0D1B2A"/>
                <w:sz w:val="22"/>
                <w:szCs w:val="22"/>
              </w:rPr>
              <w:t xml:space="preserve">ProcureMind OS</w:t>
            </w:r>
          </w:p>
          <w:p>
            <w:pPr>
              <w:spacing w:after="80"/>
            </w:pPr>
            <w:r>
              <w:rPr>
                <w:rFonts w:ascii="Georgia" w:cs="Georgia" w:eastAsia="Georgia" w:hAnsi="Georgia"/>
                <w:color w:val="334155"/>
                <w:sz w:val="20"/>
                <w:szCs w:val="20"/>
              </w:rPr>
              <w:t xml:space="preserve">•  Proactive: continuous monitoring of markets and supplier signals</w:t>
            </w:r>
          </w:p>
          <w:p>
            <w:pPr>
              <w:spacing w:after="80"/>
            </w:pPr>
            <w:r>
              <w:rPr>
                <w:rFonts w:ascii="Georgia" w:cs="Georgia" w:eastAsia="Georgia" w:hAnsi="Georgia"/>
                <w:color w:val="334155"/>
                <w:sz w:val="20"/>
                <w:szCs w:val="20"/>
              </w:rPr>
              <w:t xml:space="preserve">•  Risk scored before shortlisting begins</w:t>
            </w:r>
          </w:p>
          <w:p>
            <w:pPr>
              <w:spacing w:after="80"/>
            </w:pPr>
            <w:r>
              <w:rPr>
                <w:rFonts w:ascii="Georgia" w:cs="Georgia" w:eastAsia="Georgia" w:hAnsi="Georgia"/>
                <w:color w:val="334155"/>
                <w:sz w:val="20"/>
                <w:szCs w:val="20"/>
              </w:rPr>
              <w:t xml:space="preserve">•  Compliance enforced throughout the workflow</w:t>
            </w:r>
          </w:p>
          <w:p>
            <w:pPr>
              <w:spacing w:after="80"/>
            </w:pPr>
            <w:r>
              <w:rPr>
                <w:rFonts w:ascii="Georgia" w:cs="Georgia" w:eastAsia="Georgia" w:hAnsi="Georgia"/>
                <w:color w:val="334155"/>
                <w:sz w:val="20"/>
                <w:szCs w:val="20"/>
              </w:rPr>
              <w:t xml:space="preserve">•  Benchmarking from live market data, updated continuously</w:t>
            </w:r>
          </w:p>
          <w:p>
            <w:pPr>
              <w:spacing w:after="80"/>
            </w:pPr>
            <w:r>
              <w:rPr>
                <w:rFonts w:ascii="Georgia" w:cs="Georgia" w:eastAsia="Georgia" w:hAnsi="Georgia"/>
                <w:color w:val="334155"/>
                <w:sz w:val="20"/>
                <w:szCs w:val="20"/>
              </w:rPr>
              <w:t xml:space="preserve">•  Immutable audit log captured in real time</w:t>
            </w:r>
          </w:p>
          <w:p>
            <w:pPr>
              <w:spacing w:after="80"/>
            </w:pPr>
            <w:r>
              <w:rPr>
                <w:rFonts w:ascii="Georgia" w:cs="Georgia" w:eastAsia="Georgia" w:hAnsi="Georgia"/>
                <w:color w:val="334155"/>
                <w:sz w:val="20"/>
                <w:szCs w:val="20"/>
              </w:rPr>
              <w:t xml:space="preserve">•  Institutional knowledge encoded in graphs and model weights</w:t>
            </w:r>
          </w:p>
        </w:tc>
      </w:tr>
    </w:tbl>
    <w:p>
      <w:r>
        <w:t xml:space="preserve"/>
      </w:r>
    </w:p>
    <w:p>
      <w:pPr>
        <w:spacing w:after="180" w:line="280"/>
      </w:pPr>
      <w:r>
        <w:rPr>
          <w:rFonts w:ascii="Georgia" w:cs="Georgia" w:eastAsia="Georgia" w:hAnsi="Georgia"/>
          <w:color w:val="1A1A1A"/>
          <w:sz w:val="23"/>
          <w:szCs w:val="23"/>
        </w:rPr>
        <w:t xml:space="preserve">One thing worth noting about the comparison above: the traditional column is not a description of bad organizations. It is a description of what competent organizations produce when they use tools that were built before agentic AI was practical. The right response is not to criticize existing teams but to give them infrastructure that matches the complexity of what they are being asked to do.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Architecture Overview  —  ProcureMind OS™  End-to-End Agentic Procurement System</w:t>
            </w:r>
          </w:p>
        </w:tc>
      </w:tr>
    </w:tbl>
    <w:p>
      <w:pPr>
        <w:spacing w:before="160" w:after="80"/>
        <w:jc w:val="center"/>
      </w:pPr>
      <w:r>
        <w:rPr>
          <w:rFonts w:ascii="Georgia" w:cs="Georgia" w:eastAsia="Georgia" w:hAnsi="Georgia"/>
          <w:i/>
          <w:iCs/>
          <w:color w:val="334155"/>
          <w:sz w:val="18"/>
          <w:szCs w:val="18"/>
        </w:rPr>
        <w:t xml:space="preserve">Figure 1: Full Architecture Diagram  —  All components, data flows, agent workforce, governance gates, and observability layer</w:t>
      </w:r>
    </w:p>
    <w:p>
      <w:pPr>
        <w:spacing w:before="80" w:after="120"/>
        <w:jc w:val="center"/>
      </w:pPr>
      <w:r>
        <w:drawing>
          <wp:inline distT="0" distB="0" distL="0" distR="0">
            <wp:extent cx="5943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9925"/>
                    </a:xfrm>
                    <a:prstGeom prst="rect">
                      <a:avLst/>
                    </a:prstGeom>
                  </pic:spPr>
                </pic:pic>
              </a:graphicData>
            </a:graphic>
          </wp:inline>
        </w:drawing>
      </w:r>
    </w:p>
    <w:p>
      <w:pPr>
        <w:spacing w:before="60" w:after="200"/>
        <w:jc w:val="center"/>
      </w:pPr>
      <w:r>
        <w:rPr>
          <w:rFonts w:ascii="Georgia" w:cs="Georgia" w:eastAsia="Georgia" w:hAnsi="Georgia"/>
          <w:i/>
          <w:iCs/>
          <w:color w:val="64748B"/>
          <w:sz w:val="17"/>
          <w:szCs w:val="17"/>
        </w:rPr>
        <w:t xml:space="preserve">Colour coding: Gold — Intake &amp; Governance  |  Teal — Orchestration &amp; Execution  |  Blue — Context &amp; Data  |  Green — Knowledge &amp; Retrieval  |  Purple — Agent Workforce  |  Red — Evaluation &amp; Safety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Figure 2  —  Layered Architecture with Numbered Stages, Data Flows &amp; Feedback Loops</w:t>
            </w:r>
          </w:p>
        </w:tc>
      </w:tr>
    </w:tbl>
    <w:p>
      <w:pPr>
        <w:spacing w:before="140" w:after="80"/>
        <w:jc w:val="center"/>
      </w:pPr>
      <w:r>
        <w:rPr>
          <w:rFonts w:ascii="Georgia" w:cs="Georgia" w:eastAsia="Georgia" w:hAnsi="Georgia"/>
          <w:i/>
          <w:iCs/>
          <w:color w:val="334155"/>
          <w:sz w:val="18"/>
          <w:szCs w:val="18"/>
        </w:rPr>
        <w:t xml:space="preserve">All 10 numbered layers shown in sequence  —  solid arrows = primary flow (top → bottom)  —  dashed arrows = feedback &amp; correction loops</w:t>
      </w:r>
    </w:p>
    <w:p>
      <w:pPr>
        <w:spacing w:before="80" w:after="120"/>
        <w:jc w:val="center"/>
      </w:pPr>
      <w:r>
        <w:drawing>
          <wp:inline distT="0" distB="0" distL="0" distR="0">
            <wp:extent cx="27432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4572000"/>
                    </a:xfrm>
                    <a:prstGeom prst="rect">
                      <a:avLst/>
                    </a:prstGeom>
                  </pic:spPr>
                </pic:pic>
              </a:graphicData>
            </a:graphic>
          </wp:inline>
        </w:drawing>
      </w:r>
    </w:p>
    <w:p>
      <w:pPr>
        <w:spacing w:before="60" w:after="200"/>
        <w:jc w:val="center"/>
      </w:pPr>
      <w:r>
        <w:rPr>
          <w:rFonts w:ascii="Georgia" w:cs="Georgia" w:eastAsia="Georgia" w:hAnsi="Georgia"/>
          <w:i/>
          <w:iCs/>
          <w:color w:val="64748B"/>
          <w:sz w:val="17"/>
          <w:szCs w:val="17"/>
        </w:rPr>
        <w:t xml:space="preserve">Read top to bottom: Layer 1 (User Request) → Layer 10 (Observability).  Feedback loops on the right return control upward when corrections are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4  —  The 10-Stage Production Lifecycle</w:t>
            </w:r>
          </w:p>
        </w:tc>
      </w:tr>
    </w:tbl>
    <w:p>
      <w:r>
        <w:t xml:space="preserve"/>
      </w:r>
    </w:p>
    <w:p>
      <w:pPr>
        <w:pStyle w:val="Heading1"/>
      </w:pPr>
      <w:r>
        <w:rPr>
          <w:b/>
          <w:bCs/>
        </w:rPr>
        <w:t xml:space="preserve">Production AI Is a System Design Problem</w:t>
      </w:r>
    </w:p>
    <w:p>
      <w:pPr>
        <w:spacing w:after="180" w:line="280"/>
      </w:pPr>
      <w:r>
        <w:rPr>
          <w:rFonts w:ascii="Georgia" w:cs="Georgia" w:eastAsia="Georgia" w:hAnsi="Georgia"/>
          <w:color w:val="1A1A1A"/>
          <w:sz w:val="23"/>
          <w:szCs w:val="23"/>
        </w:rPr>
        <w:t xml:space="preserve">A persistent gap in enterprise AI adoption is the assumption that the model is the hard part. In practice, the model is almost never the bottleneck once you move past the prototype stage. The hard parts are the surrounding systems: reliable retrieval under variable query conditions, graceful failure handling when evidence is incomplete, integration with legacy ERP platforms that were not designed with AI in mind, audit trails that satisfy internal compliance teams, and continuous improvement mechanisms that prevent the system from degrading as market conditions change.</w:t>
      </w:r>
    </w:p>
    <w:p>
      <w:pPr>
        <w:spacing w:after="180" w:line="280"/>
      </w:pPr>
      <w:r>
        <w:rPr>
          <w:rFonts w:ascii="Georgia" w:cs="Georgia" w:eastAsia="Georgia" w:hAnsi="Georgia"/>
          <w:color w:val="1A1A1A"/>
          <w:sz w:val="23"/>
          <w:szCs w:val="23"/>
        </w:rPr>
        <w:t xml:space="preserve">ProcureMind OS addresses this by structuring the system around a ten-stage lifecycle. Each stage has defined inputs, outputs, and failure handling. The lifecycle is not a theoretical framework — it is the set of engineering decisions that separates a working system from a successful demo.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Component</w:t>
            </w:r>
          </w:p>
        </w:tc>
        <w:tc>
          <w:tcPr>
            <w:tcW w:type="dxa" w:w="5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Function and Key Engineering Decisions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Procurement Request Intake</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Accepts structured requests via portal, ERP API, or direct submission. Parses and validates required fields: item specification, quantity, timeline, preferred compliance constraints. Rejects malformed requests with structured error codes rather than silently passing incomplete data downstream.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Data Ingestion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Pulls structured records (POs, vendor metrics, financial reports, payment history) via ERP connectors and unstructured documents (contracts, proposals, regulatory documents, SOWs) via document parsing pipelines. Kafka or Kinesis handles streaming; Airflow manages batch ingestion schedules.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Knowledge Graph Construction</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Builds and incrementally updates a relational map of vendors, products, geographies, compliance rules, contracts, and categories. Powered by Neo4j or AWS Neptune. Graph completeness directly affects reasoning quality; see Limitations 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Retrieval Intelligence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Runs hybrid retrieval: vector search (Pinecone or FAISS) for semantic queries, keyword indexing for exact policy terms, graph traversal for relationship context. Self-RAG loop checks evidence completeness before passing context to agents.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Agent Reasoning Layer</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Five specialist agents produce recommendations in sequence: Sourcing, Vendor Risk, Compliance, Negotiation/Pricing, Contract Intelligence. Each agent operates on a scoped context packet with defined tool access.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Evaluator and Guardrail 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Independent quality gate. Validates reasoning trace quality, runs hallucination detection against evidence sources, checks for supplier fairness signals, enforces budget and data handling rules. Triggers repair loop if quality thresholds are not met. Blocks execution if repair fails.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Human-in-the-Loop Validation</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Routes high-impact decisions (above defined financial thresholds, flagged risk regions, first-time suppliers) to qualified human reviewers with a structured Decision Card. Three outcomes: Approve, Request Revision, Reject. All outcomes logged.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Enterprise Execution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Executes approved decisions via secure API handoffs to SAP, Oracle, Ariba, or equivalent. Scoped write permissions only. Every execution action logged to immutable audit store.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9</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Monitoring and Observability</w:t>
            </w:r>
          </w:p>
        </w:tc>
        <w:tc>
          <w:tcPr>
            <w:tcW w:type="dxa" w:w="5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Prometheus and Grafana track agent latency, inference cost, decision quality distribution, and retrieval coverage. Alerting thresholds configured for anomaly detection.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28090"/>
                <w:sz w:val="22"/>
                <w:szCs w:val="22"/>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Continuous Learning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Captures structured feedback from HITL outcomes. Triggers retraining pipelines via SageMaker or Kubeflow when feedback volumes reach statistical thresholds. Prompt templates and retrieval configurations updated through controlled versioning.</w:t>
            </w:r>
          </w:p>
        </w:tc>
      </w:tr>
    </w:tbl>
    <w:p>
      <w:r>
        <w:t xml:space="preserve"/>
      </w:r>
    </w:p>
    <w:p>
      <w:pPr>
        <w:spacing w:after="180" w:line="280"/>
      </w:pPr>
      <w:r>
        <w:rPr>
          <w:rFonts w:ascii="Georgia" w:cs="Georgia" w:eastAsia="Georgia" w:hAnsi="Georgia"/>
          <w:color w:val="1A1A1A"/>
          <w:sz w:val="23"/>
          <w:szCs w:val="23"/>
        </w:rPr>
        <w:t xml:space="preserve">Stages 6 and 7 together form the Governance Checkpoint — the mandatory gate between agent recommendation and enterprise execution. Nothing moves from one side of that checkpoint to the other without either a quality evaluation clearance, a human approval, or both.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5  —  Data Foundation and Knowledge Graph</w:t>
            </w:r>
          </w:p>
        </w:tc>
      </w:tr>
    </w:tbl>
    <w:p>
      <w:r>
        <w:t xml:space="preserve"/>
      </w:r>
    </w:p>
    <w:p>
      <w:pPr>
        <w:pStyle w:val="Heading1"/>
      </w:pPr>
      <w:r>
        <w:rPr>
          <w:b/>
          <w:bCs/>
        </w:rPr>
        <w:t xml:space="preserve">Unifying What Procurement Actually Needs to Know</w:t>
      </w:r>
    </w:p>
    <w:p>
      <w:pPr>
        <w:spacing w:after="180" w:line="280"/>
      </w:pPr>
      <w:r>
        <w:rPr>
          <w:rFonts w:ascii="Georgia" w:cs="Georgia" w:eastAsia="Georgia" w:hAnsi="Georgia"/>
          <w:color w:val="1A1A1A"/>
          <w:sz w:val="23"/>
          <w:szCs w:val="23"/>
        </w:rPr>
        <w:t xml:space="preserve">Procurement data lives in two separate worlds, and the tension between them is where most enterprise AI projects quietly fail.</w:t>
      </w:r>
    </w:p>
    <w:p>
      <w:pPr>
        <w:spacing w:after="180" w:line="280"/>
      </w:pPr>
      <w:r>
        <w:rPr>
          <w:rFonts w:ascii="Georgia" w:cs="Georgia" w:eastAsia="Georgia" w:hAnsi="Georgia"/>
          <w:color w:val="1A1A1A"/>
          <w:sz w:val="23"/>
          <w:szCs w:val="23"/>
        </w:rPr>
        <w:t xml:space="preserve">The structured world is handled reasonably well by existing platforms: ERP records, vendor master data, spend history, purchase orders, payment terms, and financial metrics. Modern procurement systems have decent APIs and data models for this content.</w:t>
      </w:r>
    </w:p>
    <w:p>
      <w:pPr>
        <w:spacing w:after="180" w:line="280"/>
      </w:pPr>
      <w:r>
        <w:rPr>
          <w:rFonts w:ascii="Georgia" w:cs="Georgia" w:eastAsia="Georgia" w:hAnsi="Georgia"/>
          <w:color w:val="1A1A1A"/>
          <w:sz w:val="23"/>
          <w:szCs w:val="23"/>
        </w:rPr>
        <w:t xml:space="preserve">The unstructured world is where the most consequential information actually sits. Contracts, statements of work, policy frameworks, regulatory filings, compliance guidance documents, and sometimes even email threads contain context that is essential for sound procurement decisions. A vendor may look clean in the structured system but have a force majeure clause in their standard contract that creates delivery risk in exactly the kind of geopolitical situation you are trying to avoid. That information is in a PDF. Your ERP does not know it exists.</w:t>
      </w:r>
    </w:p>
    <w:p>
      <w:pPr>
        <w:spacing w:after="180" w:line="280"/>
      </w:pPr>
      <w:r>
        <w:rPr>
          <w:rFonts w:ascii="Georgia" w:cs="Georgia" w:eastAsia="Georgia" w:hAnsi="Georgia"/>
          <w:color w:val="1A1A1A"/>
          <w:sz w:val="23"/>
          <w:szCs w:val="23"/>
        </w:rPr>
        <w:t xml:space="preserve">ProcureMind OS treats the unification of these two data worlds as a first-order architectural requirement. The ingestion layer processes both, and the resulting knowledge base — stored across a document store, vector index, and knowledge graph — is what agents actually query. The goal is to eliminate the situation where a decision-maker has to mentally integrate information from five different systems to answer a question that the system should be able to answer directly.</w:t>
      </w:r>
    </w:p>
    <w:p>
      <w:r>
        <w:t xml:space="preserve"/>
      </w:r>
    </w:p>
    <w:p>
      <w:pPr>
        <w:pStyle w:val="Heading2"/>
      </w:pPr>
      <w:r>
        <w:rPr>
          <w:b/>
          <w:bCs/>
        </w:rPr>
        <w:t xml:space="preserve">The Knowledge Graph as an Early Warning System</w:t>
      </w:r>
    </w:p>
    <w:p>
      <w:pPr>
        <w:spacing w:after="180" w:line="280"/>
      </w:pPr>
      <w:r>
        <w:rPr>
          <w:rFonts w:ascii="Georgia" w:cs="Georgia" w:eastAsia="Georgia" w:hAnsi="Georgia"/>
          <w:color w:val="1A1A1A"/>
          <w:sz w:val="23"/>
          <w:szCs w:val="23"/>
        </w:rPr>
        <w:t xml:space="preserve">The knowledge graph deserves particular attention because it is the component that gives the system its relational reasoning capability — and relational reasoning is what procurement actually requires.</w:t>
      </w:r>
    </w:p>
    <w:p>
      <w:pPr>
        <w:spacing w:after="180" w:line="280"/>
      </w:pPr>
      <w:r>
        <w:rPr>
          <w:rFonts w:ascii="Georgia" w:cs="Georgia" w:eastAsia="Georgia" w:hAnsi="Georgia"/>
          <w:color w:val="1A1A1A"/>
          <w:sz w:val="23"/>
          <w:szCs w:val="23"/>
        </w:rPr>
        <w:t xml:space="preserve">A keyword search for a vendor name returns basic records. A graph traversal starting from that vendor can follow the relationship that the vendor supplies a specific product category, that the manufacturing site for that category is located in a particular country, and that the country is subject to an active export control regime — and surface all of that in a single pass, before any agent has been asked to evaluate the vendor.</w:t>
      </w:r>
    </w:p>
    <w:p>
      <w:pPr>
        <w:spacing w:after="180" w:line="280"/>
      </w:pPr>
      <w:r>
        <w:rPr>
          <w:rFonts w:ascii="Georgia" w:cs="Georgia" w:eastAsia="Georgia" w:hAnsi="Georgia"/>
          <w:color w:val="1A1A1A"/>
          <w:sz w:val="23"/>
          <w:szCs w:val="23"/>
        </w:rPr>
        <w:t xml:space="preserve">This is the mechanism by which ProcureMind OS moves risk detection earlier in the workflow. The graph does not wait to be asked about compliance. It continuously models the relationship web, and the retrieval layer queries that web at intake time, before shortlisting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A supplier can look straightforward in isolation. It is the connections — to a parent company, to a shipping region, to a regulatory jurisdiction — that reveal the actual risk profile. Those connections are graph-native.</w:t>
            </w:r>
          </w:p>
        </w:tc>
      </w:tr>
    </w:tbl>
    <w:p>
      <w:pPr>
        <w:spacing w:after="180" w:line="280"/>
      </w:pPr>
      <w:r>
        <w:rPr>
          <w:rFonts w:ascii="Georgia" w:cs="Georgia" w:eastAsia="Georgia" w:hAnsi="Georgia"/>
          <w:color w:val="1A1A1A"/>
          <w:sz w:val="23"/>
          <w:szCs w:val="23"/>
        </w:rPr>
        <w:t xml:space="preserve">The graph is built on Neo4j or AWS Neptune depending on infrastructure preference. Entities include vendors, products, geographies, regulatory rules, contract clauses, approved supplier lists, and category definitions. Relationships are typed (supplies, located-in, subject-to, party-to, covers, approved-for) and carry metadata including source document and ingestion timestamp for provenance tracking.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6  —  Retrieval Intelligence</w:t>
            </w:r>
          </w:p>
        </w:tc>
      </w:tr>
    </w:tbl>
    <w:p>
      <w:r>
        <w:t xml:space="preserve"/>
      </w:r>
    </w:p>
    <w:p>
      <w:pPr>
        <w:pStyle w:val="Heading1"/>
      </w:pPr>
      <w:r>
        <w:rPr>
          <w:b/>
          <w:bCs/>
        </w:rPr>
        <w:t xml:space="preserve">Grounding Every Recommendation in Traceable Evidence</w:t>
      </w:r>
    </w:p>
    <w:p>
      <w:pPr>
        <w:spacing w:after="180" w:line="280"/>
      </w:pPr>
      <w:r>
        <w:rPr>
          <w:rFonts w:ascii="Georgia" w:cs="Georgia" w:eastAsia="Georgia" w:hAnsi="Georgia"/>
          <w:color w:val="1A1A1A"/>
          <w:sz w:val="23"/>
          <w:szCs w:val="23"/>
        </w:rPr>
        <w:t xml:space="preserve">Hallucination in large language models is not a hypothetical risk in enterprise procurement. A recommendation that cites a non-existent clause in a vendor agreement, or reports a risk score that was not actually computed from current data, carries real financial and legal exposure. The retrieval architecture of ProcureMind OS is designed from the ground up to prevent that failure mode.</w:t>
      </w:r>
    </w:p>
    <w:p>
      <w:pPr>
        <w:spacing w:after="180" w:line="280"/>
      </w:pPr>
      <w:r>
        <w:rPr>
          <w:rFonts w:ascii="Georgia" w:cs="Georgia" w:eastAsia="Georgia" w:hAnsi="Georgia"/>
          <w:color w:val="1A1A1A"/>
          <w:sz w:val="23"/>
          <w:szCs w:val="23"/>
        </w:rPr>
        <w:t xml:space="preserve">The system uses two retrieval strategies in combination, drawing on the cRAG and Self-RAG research traditions.</w:t>
      </w:r>
    </w:p>
    <w:p>
      <w:r>
        <w:t xml:space="preserve"/>
      </w:r>
    </w:p>
    <w:p>
      <w:pPr>
        <w:pStyle w:val="Heading2"/>
      </w:pPr>
      <w:r>
        <w:rPr>
          <w:b/>
          <w:bCs/>
        </w:rPr>
        <w:t xml:space="preserve">Contextual RAG: Rooting Agents in Enterprise Knowledge</w:t>
      </w:r>
    </w:p>
    <w:p>
      <w:pPr>
        <w:spacing w:after="180" w:line="280"/>
      </w:pPr>
      <w:r>
        <w:rPr>
          <w:rFonts w:ascii="Georgia" w:cs="Georgia" w:eastAsia="Georgia" w:hAnsi="Georgia"/>
          <w:color w:val="1A1A1A"/>
          <w:sz w:val="23"/>
          <w:szCs w:val="23"/>
        </w:rPr>
        <w:t xml:space="preserve">Before any agent begins reasoning about a procurement request, the system assembles a context packet from the knowledge base. This is not a generic retrieval pass. It is a structured query against multiple sources simultaneously: vector search against the document index for semantically relevant contracts and policies, keyword search for exact regulatory terms and clause identifiers, and graph traversal for relationship context about the vendors and products involved.</w:t>
      </w:r>
    </w:p>
    <w:p>
      <w:pPr>
        <w:spacing w:after="180" w:line="280"/>
      </w:pPr>
      <w:r>
        <w:rPr>
          <w:rFonts w:ascii="Georgia" w:cs="Georgia" w:eastAsia="Georgia" w:hAnsi="Georgia"/>
          <w:color w:val="1A1A1A"/>
          <w:sz w:val="23"/>
          <w:szCs w:val="23"/>
        </w:rPr>
        <w:t xml:space="preserve">The combination matters. A query about a vendor's delivery reliability has a semantic component (find contracts and performance records that discuss delivery) and an exact-match component (retrieve clauses with specific penalty terms) and a relational component (check whether the vendor's parent company or subsidiary has a separate performance history in the graph). No single retrieval method handles all three well. The hybrid approach is required.</w:t>
      </w:r>
    </w:p>
    <w:p>
      <w:r>
        <w:t xml:space="preserve"/>
      </w:r>
    </w:p>
    <w:p>
      <w:pPr>
        <w:pStyle w:val="Heading2"/>
      </w:pPr>
      <w:r>
        <w:rPr>
          <w:b/>
          <w:bCs/>
        </w:rPr>
        <w:t xml:space="preserve">Self-RAG: Checking the Evidence Before Trusting It</w:t>
      </w:r>
    </w:p>
    <w:p>
      <w:pPr>
        <w:spacing w:after="180" w:line="280"/>
      </w:pPr>
      <w:r>
        <w:rPr>
          <w:rFonts w:ascii="Georgia" w:cs="Georgia" w:eastAsia="Georgia" w:hAnsi="Georgia"/>
          <w:color w:val="1A1A1A"/>
          <w:sz w:val="23"/>
          <w:szCs w:val="23"/>
        </w:rPr>
        <w:t xml:space="preserve">After the initial retrieval pass, the system evaluates its own evidence coverage before passing context to an agent. The self-check asks specific questions: Is there sufficient evidence to support a recommendation on this particular aspect of the request? Are there claims that the retrieved content does not directly support? Are there known unknowns — gaps in the graph or document store — that should be flagged before an agent is asked to reason about them?</w:t>
      </w:r>
    </w:p>
    <w:p>
      <w:pPr>
        <w:spacing w:after="180" w:line="280"/>
      </w:pPr>
      <w:r>
        <w:rPr>
          <w:rFonts w:ascii="Georgia" w:cs="Georgia" w:eastAsia="Georgia" w:hAnsi="Georgia"/>
          <w:color w:val="1A1A1A"/>
          <w:sz w:val="23"/>
          <w:szCs w:val="23"/>
        </w:rPr>
        <w:t xml:space="preserve">If coverage is insufficient, the system does not proceed. It triggers additional retrieval passes, queries alternative sources, and expands the context window until coverage meets the defined threshold or the system determines that the evidence genuinely does not exist in the knowledge base. In the latter case, the system surfaces an explicit gap notification rather than allowing an agent to fill the void with speculation.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The practical effect of this approach is that agents receive context packets that have already been validated for completeness. An agent that hallucinates on a well-evidenced context packet is a reasoning failure. An agent that produces a plausible but fabricated answer because it received an incomplete context packet is an architecture failure. Self-RAG is what prevents the second category.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7  —  Orchestrator and Agent Workforce</w:t>
            </w:r>
          </w:p>
        </w:tc>
      </w:tr>
    </w:tbl>
    <w:p>
      <w:r>
        <w:t xml:space="preserve"/>
      </w:r>
    </w:p>
    <w:p>
      <w:pPr>
        <w:pStyle w:val="Heading1"/>
      </w:pPr>
      <w:r>
        <w:rPr>
          <w:b/>
          <w:bCs/>
        </w:rPr>
        <w:t xml:space="preserve">Controlled Coordination Across Specialist Agents</w:t>
      </w:r>
    </w:p>
    <w:p>
      <w:pPr>
        <w:spacing w:after="180" w:line="280"/>
      </w:pPr>
      <w:r>
        <w:rPr>
          <w:rFonts w:ascii="Georgia" w:cs="Georgia" w:eastAsia="Georgia" w:hAnsi="Georgia"/>
          <w:color w:val="1A1A1A"/>
          <w:sz w:val="23"/>
          <w:szCs w:val="23"/>
        </w:rPr>
        <w:t xml:space="preserve">Early enterprise AI projects often used a single general-purpose agent to handle complex multi-step tasks. The appeal is obvious: one model, one integration, one thing to monitor and maintain. The problem is that general-purpose agents in constrained enterprise domains tend to produce outputs that are simultaneously too broad and not precise enough — they know something about everything but not enough about any specific domain to be trusted with consequential decisions.</w:t>
      </w:r>
    </w:p>
    <w:p>
      <w:pPr>
        <w:spacing w:after="180" w:line="280"/>
      </w:pPr>
      <w:r>
        <w:rPr>
          <w:rFonts w:ascii="Georgia" w:cs="Georgia" w:eastAsia="Georgia" w:hAnsi="Georgia"/>
          <w:color w:val="1A1A1A"/>
          <w:sz w:val="23"/>
          <w:szCs w:val="23"/>
        </w:rPr>
        <w:t xml:space="preserve">ProcureMind OS uses a different model: a set of specialist agents, each with a defined scope, a specific context packet, a bounded set of permitted tool calls, and a structured output format. Coordination across agents is handled by a deterministic LangGraph orchestrator that manages the workflow as a directed acyclic graph. Agents are nodes in that graph, not free-roaming entities that decide for themselves what to do next.</w:t>
      </w:r>
    </w:p>
    <w:p>
      <w:pPr>
        <w:spacing w:after="180" w:line="280"/>
      </w:pPr>
      <w:r>
        <w:rPr>
          <w:rFonts w:ascii="Georgia" w:cs="Georgia" w:eastAsia="Georgia" w:hAnsi="Georgia"/>
          <w:color w:val="1A1A1A"/>
          <w:sz w:val="23"/>
          <w:szCs w:val="23"/>
        </w:rPr>
        <w:t xml:space="preserve">The orchestrator manages task sequencing, retry logic, idempotency (critical in a system that can create purchase orders — no agent action should be duplicated if a step fails and retries), and case state storage for full workflow traceability.</w:t>
      </w:r>
    </w:p>
    <w:p>
      <w:r>
        <w:t xml:space="preserve"/>
      </w:r>
    </w:p>
    <w:p>
      <w:pPr>
        <w:pStyle w:val="Heading2"/>
      </w:pPr>
      <w:r>
        <w:rPr>
          <w:b/>
          <w:bCs/>
        </w:rPr>
        <w:t xml:space="preserve">The Five Specialist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Scope</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Output Passed Downstream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Sourcing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Market analysis and qualified supplier discovery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i/>
                <w:iCs/>
                <w:color w:val="334155"/>
                <w:sz w:val="20"/>
                <w:szCs w:val="20"/>
              </w:rPr>
              <w:t xml:space="preserve">Ranked shortlist with capability, availability, and lead time data per candidate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Vendor Risk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Financial stability, geopolitical exposure, and ML-based risk scoring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i/>
                <w:iCs/>
                <w:color w:val="334155"/>
                <w:sz w:val="20"/>
                <w:szCs w:val="20"/>
              </w:rPr>
              <w:t xml:space="preserve">Per-supplier risk score with factor attribution and confidence level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Compliance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Policy constraint validation and regulatory cross-check</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i/>
                <w:iCs/>
                <w:color w:val="334155"/>
                <w:sz w:val="20"/>
                <w:szCs w:val="20"/>
              </w:rPr>
              <w:t xml:space="preserve">Pass/flag status per supplier and transaction, with citation to applicable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Negotiation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Price benchmarking against live indices and supplier leverage modeling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rPr>
                <w:rFonts w:ascii="Georgia" w:cs="Georgia" w:eastAsia="Georgia" w:hAnsi="Georgia"/>
                <w:i/>
                <w:iCs/>
                <w:color w:val="334155"/>
                <w:sz w:val="20"/>
                <w:szCs w:val="20"/>
              </w:rPr>
              <w:t xml:space="preserve">Recommended price targets, walk-away points, and negotiation leverage summary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Arial" w:cs="Arial" w:eastAsia="Arial" w:hAnsi="Arial"/>
                <w:b/>
                <w:bCs/>
                <w:color w:val="0D1B2A"/>
                <w:sz w:val="20"/>
                <w:szCs w:val="20"/>
              </w:rPr>
              <w:t xml:space="preserve">Contract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color w:val="334155"/>
                <w:sz w:val="20"/>
                <w:szCs w:val="20"/>
              </w:rPr>
              <w:t xml:space="preserve">Clause extraction, risk flagging, and redline generation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pPr>
              <w:spacing w:after="0"/>
            </w:pPr>
            <w:r>
              <w:rPr>
                <w:rFonts w:ascii="Georgia" w:cs="Georgia" w:eastAsia="Georgia" w:hAnsi="Georgia"/>
                <w:i/>
                <w:iCs/>
                <w:color w:val="334155"/>
                <w:sz w:val="20"/>
                <w:szCs w:val="20"/>
              </w:rPr>
              <w:t xml:space="preserve">Structured clause risk summary with suggested redlines and precedent references</w:t>
            </w:r>
          </w:p>
        </w:tc>
      </w:tr>
    </w:tbl>
    <w:p>
      <w:r>
        <w:t xml:space="preserve"/>
      </w:r>
    </w:p>
    <w:p>
      <w:pPr>
        <w:spacing w:after="180" w:line="280"/>
      </w:pPr>
      <w:r>
        <w:rPr>
          <w:rFonts w:ascii="Georgia" w:cs="Georgia" w:eastAsia="Georgia" w:hAnsi="Georgia"/>
          <w:color w:val="1A1A1A"/>
          <w:sz w:val="23"/>
          <w:szCs w:val="23"/>
        </w:rPr>
        <w:t xml:space="preserve">Agents communicate through the Model Context Protocol (MCP) Execution Bus, which standardizes message passing, enforces tool access controls per agent, and maintains a complete call log. Every tool invocation — every database query, every API call, every retrieval request — is recorded with inputs, outputs, and timestamp. This is the foundation of the audit trail that compliance teams require.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8  —  Evaluator and Guardrail System</w:t>
            </w:r>
          </w:p>
        </w:tc>
      </w:tr>
    </w:tbl>
    <w:p>
      <w:r>
        <w:t xml:space="preserve"/>
      </w:r>
    </w:p>
    <w:p>
      <w:pPr>
        <w:pStyle w:val="Heading1"/>
      </w:pPr>
      <w:r>
        <w:rPr>
          <w:b/>
          <w:bCs/>
        </w:rPr>
        <w:t xml:space="preserve">The Quality Gate That Makes the System Safe to Deploy</w:t>
      </w:r>
    </w:p>
    <w:p>
      <w:pPr>
        <w:spacing w:after="180" w:line="280"/>
      </w:pPr>
      <w:r>
        <w:rPr>
          <w:rFonts w:ascii="Georgia" w:cs="Georgia" w:eastAsia="Georgia" w:hAnsi="Georgia"/>
          <w:color w:val="1A1A1A"/>
          <w:sz w:val="23"/>
          <w:szCs w:val="23"/>
        </w:rPr>
        <w:t xml:space="preserve">The most common failure mode in production enterprise AI is not the model. It is the absence of a quality gate between the model's output and consequential action. Without an independent evaluation layer, a recommendation that is fluent, coherent, and factually incorrect will proceed to execution. In a procurement context, that means incorrect supplier selections, missed compliance flags, and financial commitments made on faulty reasoning.</w:t>
      </w:r>
    </w:p>
    <w:p>
      <w:pPr>
        <w:spacing w:after="180" w:line="280"/>
      </w:pPr>
      <w:r>
        <w:rPr>
          <w:rFonts w:ascii="Georgia" w:cs="Georgia" w:eastAsia="Georgia" w:hAnsi="Georgia"/>
          <w:color w:val="1A1A1A"/>
          <w:sz w:val="23"/>
          <w:szCs w:val="23"/>
        </w:rPr>
        <w:t xml:space="preserve">ProcureMind OS places an independent Evaluator Agent between the specialist agent layer and the human approval gateway. The Evaluator does not generate recommendations. Its only function is to validate them before they proceed.</w:t>
      </w:r>
    </w:p>
    <w:p>
      <w:r>
        <w:t xml:space="preserve"/>
      </w:r>
    </w:p>
    <w:p>
      <w:pPr>
        <w:pStyle w:val="Heading2"/>
      </w:pPr>
      <w:r>
        <w:rPr>
          <w:b/>
          <w:bCs/>
        </w:rPr>
        <w:t xml:space="preserve">Four Validation Checks</w:t>
      </w:r>
    </w:p>
    <w:p>
      <w:pPr>
        <w:spacing w:after="180" w:line="280"/>
      </w:pPr>
      <w:r>
        <w:rPr>
          <w:rFonts w:ascii="Georgia" w:cs="Georgia" w:eastAsia="Georgia" w:hAnsi="Georgia"/>
          <w:color w:val="1A1A1A"/>
          <w:sz w:val="23"/>
          <w:szCs w:val="23"/>
        </w:rPr>
        <w:t xml:space="preserve">The Evaluator runs four checks on every recommendation package before clearance:</w:t>
      </w:r>
    </w:p>
    <w:p>
      <w:pPr>
        <w:pStyle w:val="ListParagraph"/>
        <w:numPr>
          <w:ilvl w:val="0"/>
          <w:numId w:val="2"/>
        </w:numPr>
        <w:spacing w:after="100"/>
      </w:pPr>
      <w:r>
        <w:rPr>
          <w:rFonts w:ascii="Georgia" w:cs="Georgia" w:eastAsia="Georgia" w:hAnsi="Georgia"/>
          <w:color w:val="1A1A1A"/>
          <w:sz w:val="22"/>
          <w:szCs w:val="22"/>
        </w:rPr>
        <w:t xml:space="preserve">Reasoning trace quality: Is the agent's reasoning chain internally consistent? Are conclusions logically supported by the premises? Are there gaps in the reasoning that a human reviewer would immediately question?</w:t>
      </w:r>
    </w:p>
    <w:p>
      <w:pPr>
        <w:pStyle w:val="ListParagraph"/>
        <w:numPr>
          <w:ilvl w:val="0"/>
          <w:numId w:val="2"/>
        </w:numPr>
        <w:spacing w:after="100"/>
      </w:pPr>
      <w:r>
        <w:rPr>
          <w:rFonts w:ascii="Georgia" w:cs="Georgia" w:eastAsia="Georgia" w:hAnsi="Georgia"/>
          <w:color w:val="1A1A1A"/>
          <w:sz w:val="22"/>
          <w:szCs w:val="22"/>
        </w:rPr>
        <w:t xml:space="preserve">Hallucination detection: Is every factual claim in the recommendation traceable to a specific retrieved source? Claims that cannot be grounded in the evidence packet are flagged for removal or explicit uncertainty marking.</w:t>
      </w:r>
    </w:p>
    <w:p>
      <w:pPr>
        <w:pStyle w:val="ListParagraph"/>
        <w:numPr>
          <w:ilvl w:val="0"/>
          <w:numId w:val="2"/>
        </w:numPr>
        <w:spacing w:after="100"/>
      </w:pPr>
      <w:r>
        <w:rPr>
          <w:rFonts w:ascii="Georgia" w:cs="Georgia" w:eastAsia="Georgia" w:hAnsi="Georgia"/>
          <w:color w:val="1A1A1A"/>
          <w:sz w:val="22"/>
          <w:szCs w:val="22"/>
        </w:rPr>
        <w:t xml:space="preserve">Supplier fairness: Does the recommendation show systematic preference patterns that cannot be explained by objective procurement criteria? Regional concentration, size bias, and category discrimination are monitored.</w:t>
      </w:r>
    </w:p>
    <w:p>
      <w:pPr>
        <w:pStyle w:val="ListParagraph"/>
        <w:numPr>
          <w:ilvl w:val="0"/>
          <w:numId w:val="2"/>
        </w:numPr>
        <w:spacing w:after="100"/>
      </w:pPr>
      <w:r>
        <w:rPr>
          <w:rFonts w:ascii="Georgia" w:cs="Georgia" w:eastAsia="Georgia" w:hAnsi="Georgia"/>
          <w:color w:val="1A1A1A"/>
          <w:sz w:val="22"/>
          <w:szCs w:val="22"/>
        </w:rPr>
        <w:t xml:space="preserve">Runtime guardrails: Does the recommended action respect current budget limits, financial authorization thresholds, and data handling rules including automatic redaction of PII and PHI in output documents?</w:t>
      </w:r>
    </w:p>
    <w:p>
      <w:r>
        <w:t xml:space="preserve"/>
      </w:r>
    </w:p>
    <w:p>
      <w:pPr>
        <w:spacing w:after="180" w:line="280"/>
      </w:pPr>
      <w:r>
        <w:rPr>
          <w:rFonts w:ascii="Georgia" w:cs="Georgia" w:eastAsia="Georgia" w:hAnsi="Georgia"/>
          <w:color w:val="1A1A1A"/>
          <w:sz w:val="23"/>
          <w:szCs w:val="23"/>
        </w:rPr>
        <w:t xml:space="preserve">If all four checks pass, the recommendation moves to the human approval gateway. If any check fails, the Evaluator triggers the Repair Loop: the system re-retrieves relevant evidence, re-runs the affected agent with an expanded context packet, and re-evaluates. The loop runs a configurable number of times before the system concludes that the issue cannot be resolved automatically.</w:t>
      </w:r>
    </w:p>
    <w:p>
      <w:pPr>
        <w:spacing w:after="180" w:line="280"/>
      </w:pPr>
      <w:r>
        <w:rPr>
          <w:rFonts w:ascii="Georgia" w:cs="Georgia" w:eastAsia="Georgia" w:hAnsi="Georgia"/>
          <w:color w:val="1A1A1A"/>
          <w:sz w:val="23"/>
          <w:szCs w:val="23"/>
        </w:rPr>
        <w:t xml:space="preserve">When repair fails, the system does not forward a degraded recommendation. It blocks the recommendation entirely, notifies a human that the request requires manual handling, and documents the reason in the audit log. This is the correct behavior. A procurement AI system that will eventually produce a recommendation regardless of evidence quality is more dangerous than no system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The principle is straightforward: the system should fail loudly when it cannot produce a trustworthy answer. Quiet degradation — fluent but unreliable output — is the failure mode that damages trust in AI systems permanently.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9  —  A Worked Example</w:t>
            </w:r>
          </w:p>
        </w:tc>
      </w:tr>
    </w:tbl>
    <w:p>
      <w:r>
        <w:t xml:space="preserve"/>
      </w:r>
    </w:p>
    <w:p>
      <w:pPr>
        <w:pStyle w:val="Heading1"/>
      </w:pPr>
      <w:r>
        <w:rPr>
          <w:b/>
          <w:bCs/>
        </w:rPr>
        <w:t xml:space="preserve">500 Industrial Sensors, 30-Day Deadline: A Step-by-Step Architecture Walkthrough</w:t>
      </w:r>
    </w:p>
    <w:p>
      <w:pPr>
        <w:spacing w:after="180" w:line="280"/>
      </w:pPr>
      <w:r>
        <w:rPr>
          <w:rFonts w:ascii="Georgia" w:cs="Georgia" w:eastAsia="Georgia" w:hAnsi="Georgia"/>
          <w:color w:val="1A1A1A"/>
          <w:sz w:val="23"/>
          <w:szCs w:val="23"/>
        </w:rPr>
        <w:t xml:space="preserve">Abstract architecture descriptions are useful, but they become clearer when walked through a concrete scenario. The following traces the procurement request from Section 1 — 500 industrial sensors, 30-day deadline, ISO certification required — through each stage of the ProcureMind OS architecture.</w:t>
      </w:r>
    </w:p>
    <w:p>
      <w:pPr>
        <w:spacing w:after="180" w:line="280"/>
      </w:pPr>
      <w:r>
        <w:rPr>
          <w:rFonts w:ascii="Georgia" w:cs="Georgia" w:eastAsia="Georgia" w:hAnsi="Georgia"/>
          <w:color w:val="1A1A1A"/>
          <w:sz w:val="23"/>
          <w:szCs w:val="23"/>
        </w:rPr>
        <w:t xml:space="preserve">The scenario includes a complication that would typically cause significant delay in a manual workflow: one of the candidate suppliers ships from a region with active export restrictions, and their standard contract contains a clause that creates delivery risk under those conditions. In this walkthrough, both issues surface and are resolved before the human reviewer sees a recommendation.</w:t>
      </w:r>
    </w:p>
    <w:p>
      <w:r>
        <w:t xml:space="preserve"/>
      </w:r>
    </w:p>
    <w:p>
      <w:pPr>
        <w:pStyle w:val="Heading2"/>
      </w:pPr>
      <w:r>
        <w:rPr>
          <w:b/>
          <w:bCs/>
        </w:rPr>
        <w:t xml:space="preserve">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40"/>
              <w:left w:type="dxa" w:w="220"/>
              <w:bottom w:type="dxa" w:w="140"/>
              <w:right w:type="dxa" w:w="220"/>
            </w:tcMar>
          </w:tcPr>
          <w:p>
            <w:pPr>
              <w:spacing w:after="60"/>
            </w:pPr>
            <w:r>
              <w:rPr>
                <w:rFonts w:ascii="Arial" w:cs="Arial" w:eastAsia="Arial" w:hAnsi="Arial"/>
                <w:b/>
                <w:bCs/>
                <w:color w:val="0D1B2A"/>
                <w:sz w:val="21"/>
                <w:szCs w:val="21"/>
              </w:rPr>
              <w:t xml:space="preserve">Item: </w:t>
            </w:r>
            <w:r>
              <w:rPr>
                <w:rFonts w:ascii="Georgia" w:cs="Georgia" w:eastAsia="Georgia" w:hAnsi="Georgia"/>
                <w:color w:val="334155"/>
                <w:sz w:val="21"/>
                <w:szCs w:val="21"/>
              </w:rPr>
              <w:t xml:space="preserve">500 x Industrial Pressure Sensor (Model IPS-440)</w:t>
            </w:r>
          </w:p>
          <w:p>
            <w:pPr>
              <w:spacing w:after="60"/>
            </w:pPr>
            <w:r>
              <w:rPr>
                <w:rFonts w:ascii="Arial" w:cs="Arial" w:eastAsia="Arial" w:hAnsi="Arial"/>
                <w:b/>
                <w:bCs/>
                <w:color w:val="0D1B2A"/>
                <w:sz w:val="21"/>
                <w:szCs w:val="21"/>
              </w:rPr>
              <w:t xml:space="preserve">Timeline: </w:t>
            </w:r>
            <w:r>
              <w:rPr>
                <w:rFonts w:ascii="Georgia" w:cs="Georgia" w:eastAsia="Georgia" w:hAnsi="Georgia"/>
                <w:color w:val="334155"/>
                <w:sz w:val="21"/>
                <w:szCs w:val="21"/>
              </w:rPr>
              <w:t xml:space="preserve">Delivery required within 30 calendar days</w:t>
            </w:r>
          </w:p>
          <w:p>
            <w:pPr>
              <w:spacing w:after="60"/>
            </w:pPr>
            <w:r>
              <w:rPr>
                <w:rFonts w:ascii="Arial" w:cs="Arial" w:eastAsia="Arial" w:hAnsi="Arial"/>
                <w:b/>
                <w:bCs/>
                <w:color w:val="0D1B2A"/>
                <w:sz w:val="21"/>
                <w:szCs w:val="21"/>
              </w:rPr>
              <w:t xml:space="preserve">Requirement: </w:t>
            </w:r>
            <w:r>
              <w:rPr>
                <w:rFonts w:ascii="Georgia" w:cs="Georgia" w:eastAsia="Georgia" w:hAnsi="Georgia"/>
                <w:color w:val="334155"/>
                <w:sz w:val="21"/>
                <w:szCs w:val="21"/>
              </w:rPr>
              <w:t xml:space="preserve">ISO 9001-certified supplier, EU RoHS compliant components</w:t>
            </w:r>
          </w:p>
          <w:p>
            <w:pPr>
              <w:spacing w:after="0"/>
            </w:pPr>
            <w:r>
              <w:rPr>
                <w:rFonts w:ascii="Arial" w:cs="Arial" w:eastAsia="Arial" w:hAnsi="Arial"/>
                <w:b/>
                <w:bCs/>
                <w:color w:val="0D1B2A"/>
                <w:sz w:val="21"/>
                <w:szCs w:val="21"/>
              </w:rPr>
              <w:t xml:space="preserve">Source: </w:t>
            </w:r>
            <w:r>
              <w:rPr>
                <w:rFonts w:ascii="Georgia" w:cs="Georgia" w:eastAsia="Georgia" w:hAnsi="Georgia"/>
                <w:color w:val="334155"/>
                <w:sz w:val="21"/>
                <w:szCs w:val="21"/>
              </w:rPr>
              <w:t xml:space="preserve">Plant Operations Manager, submitted via Procurement Portal at 21:32</w:t>
            </w:r>
          </w:p>
        </w:tc>
      </w:tr>
    </w:tbl>
    <w:p>
      <w:r>
        <w:t xml:space="preserve"/>
      </w:r>
    </w:p>
    <w:p>
      <w:pPr>
        <w:pStyle w:val="Heading2"/>
      </w:pPr>
      <w:r>
        <w:rPr>
          <w:b/>
          <w:bCs/>
        </w:rPr>
        <w:t xml:space="preserve">Step-by-Step Architecture Trace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1</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Intake and Initial Retrieval</w:t>
            </w:r>
          </w:p>
          <w:p>
            <w:pPr>
              <w:spacing w:after="0"/>
            </w:pPr>
            <w:r>
              <w:rPr>
                <w:rFonts w:ascii="Georgia" w:cs="Georgia" w:eastAsia="Georgia" w:hAnsi="Georgia"/>
                <w:color w:val="334155"/>
                <w:sz w:val="21"/>
                <w:szCs w:val="21"/>
              </w:rPr>
              <w:t xml:space="preserve">The request arrives via the procurement portal API. The system validates required fields, parses the specification, and immediately initiates a graph traversal. Query: which vendors in the approved supplier list supply IPS-440 or compatible pressure sensors, and what are their associated manufacturing regions? The graph returns four candidates. Vendor C is flagged at this stage: its primary manufacturing site is in a region currently listed under Export Regulation 14-B. The flag is recorded in the context packet. No shortlisting has occurred yet.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2</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Context Assembly via Hybrid Retrieval</w:t>
            </w:r>
          </w:p>
          <w:p>
            <w:pPr>
              <w:spacing w:after="0"/>
            </w:pPr>
            <w:r>
              <w:rPr>
                <w:rFonts w:ascii="Georgia" w:cs="Georgia" w:eastAsia="Georgia" w:hAnsi="Georgia"/>
                <w:color w:val="334155"/>
                <w:sz w:val="21"/>
                <w:szCs w:val="21"/>
              </w:rPr>
              <w:t xml:space="preserve">The system runs three parallel retrieval passes. Vector search retrieves performance summaries and delivery history for all four vendors from the document store. Keyword search retrieves the specific compliance clause from Export Regulation 14-B and the relevant sections of the company's procurement policy on restricted-region suppliers. Graph traversal retrieves Vendor C's parent company structure, which reveals that the parent company's headquarters is in a non-restricted jurisdiction and that an alternate shipping route through a subsidiary exists. All of this is assembled into a context packet before any agent begins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3</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Self-RAG Evidence Check</w:t>
            </w:r>
          </w:p>
          <w:p>
            <w:pPr>
              <w:spacing w:after="0"/>
            </w:pPr>
            <w:r>
              <w:rPr>
                <w:rFonts w:ascii="Georgia" w:cs="Georgia" w:eastAsia="Georgia" w:hAnsi="Georgia"/>
                <w:color w:val="334155"/>
                <w:sz w:val="21"/>
                <w:szCs w:val="21"/>
              </w:rPr>
              <w:t xml:space="preserve">Before passing the context packet to agents, the self-check loop evaluates evidence coverage. Coverage is strong for Vendors A, B, and D. For Vendor C, the retrieval has identified the export restriction flag but the alternate shipping route has not yet been validated against current contract terms. The loop triggers one additional retrieval pass, pulling Vendor C's current master service agreement from the document store. The agreement confirms that the alternate route is contractually permitted but subject to a seven-day additional lead time, which still fits within the 30-day window. Coverage is now marked sufficient. Context packet is finalized.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4</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Specialist Agent Reasoning</w:t>
            </w:r>
          </w:p>
          <w:p>
            <w:pPr>
              <w:spacing w:after="0"/>
            </w:pPr>
            <w:r>
              <w:rPr>
                <w:rFonts w:ascii="Georgia" w:cs="Georgia" w:eastAsia="Georgia" w:hAnsi="Georgia"/>
                <w:color w:val="334155"/>
                <w:sz w:val="21"/>
                <w:szCs w:val="21"/>
              </w:rPr>
              <w:t xml:space="preserve">Five agents run in sequence on the finalized context packet. The Sourcing Agent ranks Vendors A, B, and C as viable candidates; Vendor D has a documented delivery failure rate above the policy threshold. The Vendor Risk Agent scores Vendor A at 11% (Low), Vendor B at 23% (Medium, due to recent credit rating change), and Vendor C at 19% (Medium, flagged for export restriction — resolved via alternate route — with seven-day lead time note). The Compliance Agent confirms that Vendor C's alternate route is policy-compliant and that ISO and RoHS documentation is current for all three. The Negotiation Agent identifies that Vendor A's current quote is 6% above the market index and recommends a target of 4% below. The Contract Agent flags a force majeure clause in Vendor B's standard agreement that would excuse late delivery under geopolitical disruption — relevant given the 30-day constraint.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5</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Evaluator Quality Gate</w:t>
            </w:r>
          </w:p>
          <w:p>
            <w:pPr>
              <w:spacing w:after="0"/>
            </w:pPr>
            <w:r>
              <w:rPr>
                <w:rFonts w:ascii="Georgia" w:cs="Georgia" w:eastAsia="Georgia" w:hAnsi="Georgia"/>
                <w:color w:val="334155"/>
                <w:sz w:val="21"/>
                <w:szCs w:val="21"/>
              </w:rPr>
              <w:t xml:space="preserve">The Evaluator reviews all five agent outputs. Reasoning trace quality passes for all agents. Hallucination check: the Negotiation Agent's benchmark claim is traced to a pricing index entry from three days prior — within the acceptable freshness window. The Contract Agent's force majeure flag is traced to page 8, clause 14.3 of Vendor B's agreement — confirmed. Supplier fairness check: the distribution of risk scores is proportionate to objective factors and shows no regional pattern that cannot be explained. All four checks pass. Recommendation package is cleared for human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1B2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8"/>
                <w:szCs w:val="28"/>
              </w:rPr>
              <w:t xml:space="preserve">6</w:t>
            </w:r>
          </w:p>
        </w:tc>
        <w:tc>
          <w:tcPr>
            <w:tcW w:type="dxa" w:w="8760"/>
            <w:tcBorders>
              <w:top w:val="single" w:color="CCCCCC" w:sz="1"/>
              <w:left w:val="single" w:color="CCCCCC" w:sz="1"/>
              <w:bottom w:val="single" w:color="CCCCCC" w:sz="1"/>
              <w:right w:val="single" w:color="CCCCCC" w:sz="1"/>
            </w:tcBorders>
            <w:shd w:fill="F5F7FA" w:val="clear"/>
            <w:tcMar>
              <w:top w:type="dxa" w:w="100"/>
              <w:left w:type="dxa" w:w="180"/>
              <w:bottom w:type="dxa" w:w="100"/>
              <w:right w:type="dxa" w:w="120"/>
            </w:tcMar>
          </w:tcPr>
          <w:p>
            <w:pPr>
              <w:spacing w:after="40"/>
            </w:pPr>
            <w:r>
              <w:rPr>
                <w:rFonts w:ascii="Arial" w:cs="Arial" w:eastAsia="Arial" w:hAnsi="Arial"/>
                <w:b/>
                <w:bCs/>
                <w:color w:val="0D1B2A"/>
                <w:sz w:val="22"/>
                <w:szCs w:val="22"/>
              </w:rPr>
              <w:t xml:space="preserve">Human Approval Gateway and Decision</w:t>
            </w:r>
          </w:p>
          <w:p>
            <w:pPr>
              <w:spacing w:after="0"/>
            </w:pPr>
            <w:r>
              <w:rPr>
                <w:rFonts w:ascii="Georgia" w:cs="Georgia" w:eastAsia="Georgia" w:hAnsi="Georgia"/>
                <w:color w:val="334155"/>
                <w:sz w:val="21"/>
                <w:szCs w:val="21"/>
              </w:rPr>
              <w:t xml:space="preserve">The procurement manager receives a Decision Card. The card presents Vendor A as the primary recommendation: risk score 11% (Low), price benchmark 4% below market at the recommended target, ISO and RoHS confirmed, no compliance flags. Vendor C is presented as a secondary option with the seven-day lead time note clearly stated and the export regulation resolution documented. Vendor B is flagged with the force majeure clause risk as a reason for non-recommendation given the tight timeline. The manager approves Vendor A. The approval is digitally timestamped. The Enterprise Execution Layer creates the purchase requisition in SAP, initiates Vendor A's onboarding workflow for this order type, and logs the full decision chain — from the 21:32 intake to the approval timestamp — in the immutable audit log.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What took the traditional process three to seven days of back-and-forth across procurement, compliance, legal, and finance happened in a single, auditable workflow. The human decision at the end was better informed than it would have been manually — and it was documented in a way that would satisfy any subsequent audit.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10  —  Execution, Security, and Infrastructure</w:t>
            </w:r>
          </w:p>
        </w:tc>
      </w:tr>
    </w:tbl>
    <w:p>
      <w:r>
        <w:t xml:space="preserve"/>
      </w:r>
    </w:p>
    <w:p>
      <w:pPr>
        <w:pStyle w:val="Heading1"/>
      </w:pPr>
      <w:r>
        <w:rPr>
          <w:b/>
          <w:bCs/>
        </w:rPr>
        <w:t xml:space="preserve">From Approval to Enterprise Action</w:t>
      </w:r>
    </w:p>
    <w:p>
      <w:pPr>
        <w:spacing w:after="180" w:line="280"/>
      </w:pPr>
      <w:r>
        <w:rPr>
          <w:rFonts w:ascii="Georgia" w:cs="Georgia" w:eastAsia="Georgia" w:hAnsi="Georgia"/>
          <w:color w:val="1A1A1A"/>
          <w:sz w:val="23"/>
          <w:szCs w:val="23"/>
        </w:rPr>
        <w:t xml:space="preserve">Once a decision clears the human approval gateway, the Enterprise Execution Layer carries it into the systems of record. This layer holds the actual integrations with SAP Procurement, Oracle Supply Chain, Ariba, and equivalent ERP platforms. The available execution actions are: create or update purchase requisitions and purchase orders, issue vendor contracts, trigger supplier onboarding and KYC workflows, and schedule delivery with inventory updates.</w:t>
      </w:r>
    </w:p>
    <w:p>
      <w:pPr>
        <w:spacing w:after="180" w:line="280"/>
      </w:pPr>
      <w:r>
        <w:rPr>
          <w:rFonts w:ascii="Georgia" w:cs="Georgia" w:eastAsia="Georgia" w:hAnsi="Georgia"/>
          <w:color w:val="1A1A1A"/>
          <w:sz w:val="23"/>
          <w:szCs w:val="23"/>
        </w:rPr>
        <w:t xml:space="preserve">All of these actions execute through scoped, authenticated API handoffs. The execution layer does not hold persistent write access to downstream systems. It requests specific, bounded actions that are defined in the integration layer's permission configuration. Every action, whether it succeeds, fails, or is rolled back, is written to the immutable audit log with the full decision chain that preceded it.</w:t>
      </w:r>
    </w:p>
    <w:p>
      <w:pPr>
        <w:spacing w:after="180" w:line="280"/>
      </w:pPr>
      <w:r>
        <w:rPr>
          <w:rFonts w:ascii="Georgia" w:cs="Georgia" w:eastAsia="Georgia" w:hAnsi="Georgia"/>
          <w:color w:val="1A1A1A"/>
          <w:sz w:val="23"/>
          <w:szCs w:val="23"/>
        </w:rPr>
        <w:t xml:space="preserve">This is the part of the architecture that turns the system from an advisory tool into an operational one. It is also where the governance model becomes most important: no execution happens without a human approval on record, and no human approval is possible without a quality-cleared recommendation. The chain is unbroken.</w:t>
      </w:r>
    </w:p>
    <w:p>
      <w:r>
        <w:t xml:space="preserve"/>
      </w:r>
    </w:p>
    <w:p>
      <w:pPr>
        <w:pStyle w:val="Heading2"/>
      </w:pPr>
      <w:r>
        <w:rPr>
          <w:b/>
          <w:bCs/>
        </w:rPr>
        <w:t xml:space="preserve">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spacing w:after="100"/>
            </w:pPr>
            <w:r>
              <w:rPr>
                <w:rFonts w:ascii="Arial" w:cs="Arial" w:eastAsia="Arial" w:hAnsi="Arial"/>
                <w:b/>
                <w:bCs/>
                <w:color w:val="0D1B2A"/>
                <w:sz w:val="22"/>
                <w:szCs w:val="22"/>
              </w:rPr>
              <w:t xml:space="preserve">Identity and Access</w:t>
            </w:r>
          </w:p>
          <w:p>
            <w:pPr>
              <w:spacing w:after="80"/>
            </w:pPr>
            <w:r>
              <w:rPr>
                <w:rFonts w:ascii="Georgia" w:cs="Georgia" w:eastAsia="Georgia" w:hAnsi="Georgia"/>
                <w:color w:val="334155"/>
                <w:sz w:val="20"/>
                <w:szCs w:val="20"/>
              </w:rPr>
              <w:t xml:space="preserve">•  SSO and OAuth authentication across all entry points</w:t>
            </w:r>
          </w:p>
          <w:p>
            <w:pPr>
              <w:spacing w:after="80"/>
            </w:pPr>
            <w:r>
              <w:rPr>
                <w:rFonts w:ascii="Georgia" w:cs="Georgia" w:eastAsia="Georgia" w:hAnsi="Georgia"/>
                <w:color w:val="334155"/>
                <w:sz w:val="20"/>
                <w:szCs w:val="20"/>
              </w:rPr>
              <w:t xml:space="preserve">•  Role-Based Access Control: procurement, finance, legal, and compliance roles have distinct permission sets</w:t>
            </w:r>
          </w:p>
          <w:p>
            <w:pPr>
              <w:spacing w:after="80"/>
            </w:pPr>
            <w:r>
              <w:rPr>
                <w:rFonts w:ascii="Georgia" w:cs="Georgia" w:eastAsia="Georgia" w:hAnsi="Georgia"/>
                <w:color w:val="334155"/>
                <w:sz w:val="20"/>
                <w:szCs w:val="20"/>
              </w:rPr>
              <w:t xml:space="preserve">•  Strict tenant isolation in multi-organization deployments</w:t>
            </w:r>
          </w:p>
          <w:p>
            <w:pPr>
              <w:spacing w:after="80"/>
            </w:pPr>
            <w:r>
              <w:rPr>
                <w:rFonts w:ascii="Georgia" w:cs="Georgia" w:eastAsia="Georgia" w:hAnsi="Georgia"/>
                <w:color w:val="334155"/>
                <w:sz w:val="20"/>
                <w:szCs w:val="20"/>
              </w:rPr>
              <w:t xml:space="preserve">•  Rate limiting applied per role and per agent type</w:t>
            </w:r>
          </w:p>
        </w:tc>
        <w:tc>
          <w:tcPr>
            <w:tcW w:type="dxa" w:w="468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pPr>
              <w:spacing w:after="100"/>
            </w:pPr>
            <w:r>
              <w:rPr>
                <w:rFonts w:ascii="Arial" w:cs="Arial" w:eastAsia="Arial" w:hAnsi="Arial"/>
                <w:b/>
                <w:bCs/>
                <w:color w:val="0D1B2A"/>
                <w:sz w:val="22"/>
                <w:szCs w:val="22"/>
              </w:rPr>
              <w:t xml:space="preserve">Data Security</w:t>
            </w:r>
          </w:p>
          <w:p>
            <w:pPr>
              <w:spacing w:after="80"/>
            </w:pPr>
            <w:r>
              <w:rPr>
                <w:rFonts w:ascii="Georgia" w:cs="Georgia" w:eastAsia="Georgia" w:hAnsi="Georgia"/>
                <w:color w:val="334155"/>
                <w:sz w:val="20"/>
                <w:szCs w:val="20"/>
              </w:rPr>
              <w:t xml:space="preserve">•  Encrypted data pipelines from ingestion through execution</w:t>
            </w:r>
          </w:p>
          <w:p>
            <w:pPr>
              <w:spacing w:after="80"/>
            </w:pPr>
            <w:r>
              <w:rPr>
                <w:rFonts w:ascii="Georgia" w:cs="Georgia" w:eastAsia="Georgia" w:hAnsi="Georgia"/>
                <w:color w:val="334155"/>
                <w:sz w:val="20"/>
                <w:szCs w:val="20"/>
              </w:rPr>
              <w:t xml:space="preserve">•  Policy-aware retrieval filters: agents cannot retrieve documents outside their authorized scope</w:t>
            </w:r>
          </w:p>
          <w:p>
            <w:pPr>
              <w:spacing w:after="80"/>
            </w:pPr>
            <w:r>
              <w:rPr>
                <w:rFonts w:ascii="Georgia" w:cs="Georgia" w:eastAsia="Georgia" w:hAnsi="Georgia"/>
                <w:color w:val="334155"/>
                <w:sz w:val="20"/>
                <w:szCs w:val="20"/>
              </w:rPr>
              <w:t xml:space="preserve">•  Automatic redaction of PII and PHI in all output documents</w:t>
            </w:r>
          </w:p>
          <w:p>
            <w:pPr>
              <w:spacing w:after="80"/>
            </w:pPr>
            <w:r>
              <w:rPr>
                <w:rFonts w:ascii="Georgia" w:cs="Georgia" w:eastAsia="Georgia" w:hAnsi="Georgia"/>
                <w:color w:val="334155"/>
                <w:sz w:val="20"/>
                <w:szCs w:val="20"/>
              </w:rPr>
              <w:t xml:space="preserve">•  Vendor negotiation strategy data isolated from sourcing agent scope</w:t>
            </w:r>
          </w:p>
        </w:tc>
      </w:tr>
    </w:tbl>
    <w:p>
      <w:r>
        <w:t xml:space="preserve"/>
      </w:r>
    </w:p>
    <w:p>
      <w:pPr>
        <w:pStyle w:val="Heading2"/>
      </w:pPr>
      <w:r>
        <w:rPr>
          <w:b/>
          <w:bCs/>
        </w:rPr>
        <w:t xml:space="preserve">Infrastructure and Performance Design</w:t>
      </w:r>
    </w:p>
    <w:p>
      <w:pPr>
        <w:spacing w:after="180" w:line="280"/>
      </w:pPr>
      <w:r>
        <w:rPr>
          <w:rFonts w:ascii="Georgia" w:cs="Georgia" w:eastAsia="Georgia" w:hAnsi="Georgia"/>
          <w:color w:val="1A1A1A"/>
          <w:sz w:val="23"/>
          <w:szCs w:val="23"/>
        </w:rPr>
        <w:t xml:space="preserve">The system is deployed in a three-layer cloud architecture: a cloud compute base (Azure AKS or AWS EKS), an inference layer with containerized GPU servers and pre-warmed vector databases, and an application layer handling microservices and graph routing. The infrastructure is designed to support both Azure and AWS stacks without re-architecture.</w:t>
      </w:r>
    </w:p>
    <w:p>
      <w:pPr>
        <w:spacing w:after="180" w:line="280"/>
      </w:pPr>
      <w:r>
        <w:rPr>
          <w:rFonts w:ascii="Georgia" w:cs="Georgia" w:eastAsia="Georgia" w:hAnsi="Georgia"/>
          <w:color w:val="1A1A1A"/>
          <w:sz w:val="23"/>
          <w:szCs w:val="23"/>
        </w:rPr>
        <w:t xml:space="preserve">The target latency of under 500 milliseconds per agent decision cycle is achievable in the described configuration for requests that do not require full cold-start retrieval. Requests involving complex graph traversals, multi-hop compliance lookups, or full contract re-parsing will typically exceed this target. Production SLAs should be set based on the actual query distribution of the deployment environment, not on the best-case architectural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11  —  Limitations and Honest Caveats</w:t>
            </w:r>
          </w:p>
        </w:tc>
      </w:tr>
    </w:tbl>
    <w:p>
      <w:r>
        <w:t xml:space="preserve"/>
      </w:r>
    </w:p>
    <w:p>
      <w:pPr>
        <w:pStyle w:val="Heading1"/>
      </w:pPr>
      <w:r>
        <w:rPr>
          <w:b/>
          <w:bCs/>
        </w:rPr>
        <w:t xml:space="preserve">What This Architecture Does Not Solve</w:t>
      </w:r>
    </w:p>
    <w:p>
      <w:pPr>
        <w:spacing w:after="180" w:line="280"/>
      </w:pPr>
      <w:r>
        <w:rPr>
          <w:rFonts w:ascii="Georgia" w:cs="Georgia" w:eastAsia="Georgia" w:hAnsi="Georgia"/>
          <w:color w:val="1A1A1A"/>
          <w:sz w:val="23"/>
          <w:szCs w:val="23"/>
        </w:rPr>
        <w:t xml:space="preserve">A paper that presents an architecture without discussing its limitations is either incomplete or overconfident. ProcureMind OS addresses real problems and does so with components that are mature and well-understood. It also has boundaries that practitioners need to understand before committing to implementation.</w:t>
      </w:r>
    </w:p>
    <w:p>
      <w:r>
        <w:t xml:space="preserve"/>
      </w:r>
    </w:p>
    <w:p>
      <w:pPr>
        <w:pStyle w:val="Heading2"/>
      </w:pPr>
      <w:r>
        <w:rPr>
          <w:b/>
          <w:bCs/>
        </w:rPr>
        <w:t xml:space="preserve">Retrieval Quality Sets a Ceiling on Reasoning Quality</w:t>
      </w:r>
    </w:p>
    <w:p>
      <w:pPr>
        <w:spacing w:after="180" w:line="280"/>
      </w:pPr>
      <w:r>
        <w:rPr>
          <w:rFonts w:ascii="Georgia" w:cs="Georgia" w:eastAsia="Georgia" w:hAnsi="Georgia"/>
          <w:color w:val="1A1A1A"/>
          <w:sz w:val="23"/>
          <w:szCs w:val="23"/>
        </w:rPr>
        <w:t xml:space="preserve">Every agent in the system reasons on the basis of retrieved evidence. If the retrieval is wrong, incomplete, or stale, the agent's reasoning will be correspondingly wrong, incomplete, or stale — even if the reasoning itself is internally coherent. The Self-RAG mechanism reduces but does not eliminate this risk. There will be procurement scenarios where the evidence needed to answer a question correctly simply does not exist in the knowledge base, and the system needs to be configured to surface that fact clearly rather than produce a low-confidence recommendation that looks authoritative.</w:t>
      </w:r>
    </w:p>
    <w:p>
      <w:r>
        <w:t xml:space="preserve"/>
      </w:r>
    </w:p>
    <w:p>
      <w:pPr>
        <w:pStyle w:val="Heading2"/>
      </w:pPr>
      <w:r>
        <w:rPr>
          <w:b/>
          <w:bCs/>
        </w:rPr>
        <w:t xml:space="preserve">Graph Completeness Is an Ongoing Operational Requirement</w:t>
      </w:r>
    </w:p>
    <w:p>
      <w:pPr>
        <w:spacing w:after="180" w:line="280"/>
      </w:pPr>
      <w:r>
        <w:rPr>
          <w:rFonts w:ascii="Georgia" w:cs="Georgia" w:eastAsia="Georgia" w:hAnsi="Georgia"/>
          <w:color w:val="1A1A1A"/>
          <w:sz w:val="23"/>
          <w:szCs w:val="23"/>
        </w:rPr>
        <w:t xml:space="preserve">The knowledge graph's value as an early warning system depends entirely on how complete and current its relationship map is. A graph that is missing a vendor's parent company relationship will not detect the risk that flows through that relationship. A graph whose geographic compliance data is six months out of date will not catch a regulatory change that occurred in that window. Maintaining graph completeness is not a one-time setup task. It is an ongoing operational discipline that requires dedicated resources and clear ownership.</w:t>
      </w:r>
    </w:p>
    <w:p>
      <w:r>
        <w:t xml:space="preserve"/>
      </w:r>
    </w:p>
    <w:p>
      <w:pPr>
        <w:pStyle w:val="Heading2"/>
      </w:pPr>
      <w:r>
        <w:rPr>
          <w:b/>
          <w:bCs/>
        </w:rPr>
        <w:t xml:space="preserve">Vendor Risk Models Drift</w:t>
      </w:r>
    </w:p>
    <w:p>
      <w:pPr>
        <w:spacing w:after="180" w:line="280"/>
      </w:pPr>
      <w:r>
        <w:rPr>
          <w:rFonts w:ascii="Georgia" w:cs="Georgia" w:eastAsia="Georgia" w:hAnsi="Georgia"/>
          <w:color w:val="1A1A1A"/>
          <w:sz w:val="23"/>
          <w:szCs w:val="23"/>
        </w:rPr>
        <w:t xml:space="preserve">The risk scoring models used by the Vendor Risk Agent are calibrated on historical data. Supplier landscapes, commodity markets, and geopolitical conditions change. A vendor that scored as low-risk twelve months ago may have experienced financial stress, a key supplier relationship breakdown, or a regulatory compliance failure since then. The drift detection and retraining mechanisms described in this architecture are designed to mitigate this, but there will always be a lag between a real-world change and the model's awareness of it. Human oversight of vendor risk scores — particularly for long-standing approved suppliers that may not trigger re-evaluation automatically — remains important.</w:t>
      </w:r>
    </w:p>
    <w:p>
      <w:r>
        <w:t xml:space="preserve"/>
      </w:r>
    </w:p>
    <w:p>
      <w:pPr>
        <w:pStyle w:val="Heading2"/>
      </w:pPr>
      <w:r>
        <w:rPr>
          <w:b/>
          <w:bCs/>
        </w:rPr>
        <w:t xml:space="preserve">ERP Integration Complexity Varies Significantly</w:t>
      </w:r>
    </w:p>
    <w:p>
      <w:pPr>
        <w:spacing w:after="180" w:line="280"/>
      </w:pPr>
      <w:r>
        <w:rPr>
          <w:rFonts w:ascii="Georgia" w:cs="Georgia" w:eastAsia="Georgia" w:hAnsi="Georgia"/>
          <w:color w:val="1A1A1A"/>
          <w:sz w:val="23"/>
          <w:szCs w:val="23"/>
        </w:rPr>
        <w:t xml:space="preserve">The execution layer's ability to create purchase orders, issue contracts, and trigger onboarding workflows depends on the maturity and accessibility of the target ERP's API surface. Modern SAP and Oracle deployments with well-maintained API layers integrate relatively cleanly. Legacy ERP configurations, heavily customized instances, and environments with limited API access can require substantial integration engineering work that is not captured in the architecture specification. Implementation timelines should account for ERP integration complexity as a first-order variable, not an afterthought.</w:t>
      </w:r>
    </w:p>
    <w:p>
      <w:r>
        <w:t xml:space="preserve"/>
      </w:r>
    </w:p>
    <w:p>
      <w:pPr>
        <w:pStyle w:val="Heading2"/>
      </w:pPr>
      <w:r>
        <w:rPr>
          <w:b/>
          <w:bCs/>
        </w:rPr>
        <w:t xml:space="preserve">Human Review Remains Mandatory for High-Stakes Decisions</w:t>
      </w:r>
    </w:p>
    <w:p>
      <w:pPr>
        <w:spacing w:after="180" w:line="280"/>
      </w:pPr>
      <w:r>
        <w:rPr>
          <w:rFonts w:ascii="Georgia" w:cs="Georgia" w:eastAsia="Georgia" w:hAnsi="Georgia"/>
          <w:color w:val="1A1A1A"/>
          <w:sz w:val="23"/>
          <w:szCs w:val="23"/>
        </w:rPr>
        <w:t xml:space="preserve">The architecture is explicit that the Human Approval Gateway is a hard stop for high-impact decisions, not an optional confirmation step. This is correct and should not be treated as a temporary limitation to be removed as the system matures. There is a category of procurement decision — large contracts, novel suppliers, geopolitically sensitive sourcing, first-time category entries — where human judgment is genuinely irreplaceable, not because the AI cannot produce a recommendation but because the consequences of being wrong require human accountability. The system is designed to reduce the manual burden on human reviewers, not to route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D97706" w:sz="16"/>
              <w:bottom w:val="single" w:color="CCCCCC" w:sz="1"/>
              <w:right w:val="none" w:color="FFFFFF" w:sz="0"/>
            </w:tcBorders>
            <w:shd w:fill="FFFBE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FFFBEB" w:val="clear"/>
            <w:tcMar>
              <w:top w:type="dxa" w:w="140"/>
              <w:left w:type="dxa" w:w="200"/>
              <w:bottom w:type="dxa" w:w="140"/>
              <w:right w:type="dxa" w:w="200"/>
            </w:tcMar>
          </w:tcPr>
          <w:p>
            <w:pPr>
              <w:spacing w:after="0"/>
            </w:pPr>
            <w:r>
              <w:rPr>
                <w:rFonts w:ascii="Georgia" w:cs="Georgia" w:eastAsia="Georgia" w:hAnsi="Georgia"/>
                <w:i/>
                <w:iCs/>
                <w:color w:val="92400E"/>
                <w:sz w:val="22"/>
                <w:szCs w:val="22"/>
              </w:rPr>
              <w:t xml:space="preserve">The goal is not full automation. The goal is to make the human decision that matters faster, better-informed, and fully documented. Those are different objectives, and conflating them leads to governance failures.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Section 12  —  Observability and Continuous Improvement</w:t>
            </w:r>
          </w:p>
        </w:tc>
      </w:tr>
    </w:tbl>
    <w:p>
      <w:r>
        <w:t xml:space="preserve"/>
      </w:r>
    </w:p>
    <w:p>
      <w:pPr>
        <w:pStyle w:val="Heading1"/>
      </w:pPr>
      <w:r>
        <w:rPr>
          <w:b/>
          <w:bCs/>
        </w:rPr>
        <w:t xml:space="preserve">Staying Reliable After Day One</w:t>
      </w:r>
    </w:p>
    <w:p>
      <w:pPr>
        <w:spacing w:after="180" w:line="280"/>
      </w:pPr>
      <w:r>
        <w:rPr>
          <w:rFonts w:ascii="Georgia" w:cs="Georgia" w:eastAsia="Georgia" w:hAnsi="Georgia"/>
          <w:color w:val="1A1A1A"/>
          <w:sz w:val="23"/>
          <w:szCs w:val="23"/>
        </w:rPr>
        <w:t xml:space="preserve">The hardest part of enterprise AI deployment is not the launch. It is the six months after launch, when commodity prices have shifted, two key suppliers have had quality incidents, three regulatory updates have come through, and the model is still reasoning from context that was current at go-live. Systems that are not designed for continuous improvement degrade in exactly this window.</w:t>
      </w:r>
    </w:p>
    <w:p>
      <w:pPr>
        <w:spacing w:after="180" w:line="280"/>
      </w:pPr>
      <w:r>
        <w:rPr>
          <w:rFonts w:ascii="Georgia" w:cs="Georgia" w:eastAsia="Georgia" w:hAnsi="Georgia"/>
          <w:color w:val="1A1A1A"/>
          <w:sz w:val="23"/>
          <w:szCs w:val="23"/>
        </w:rPr>
        <w:t xml:space="preserve">ProcureMind OS addresses this through three interlocking mechanisms: real-time observability, data drift detection, and human-feedback-driven retraining.</w:t>
      </w:r>
    </w:p>
    <w:p>
      <w:r>
        <w:t xml:space="preserve"/>
      </w:r>
    </w:p>
    <w:p>
      <w:pPr>
        <w:pStyle w:val="Heading2"/>
      </w:pPr>
      <w:r>
        <w:rPr>
          <w:b/>
          <w:bCs/>
        </w:rPr>
        <w:t xml:space="preserve">Observability</w:t>
      </w:r>
    </w:p>
    <w:p>
      <w:pPr>
        <w:spacing w:after="180" w:line="280"/>
      </w:pPr>
      <w:r>
        <w:rPr>
          <w:rFonts w:ascii="Georgia" w:cs="Georgia" w:eastAsia="Georgia" w:hAnsi="Georgia"/>
          <w:color w:val="1A1A1A"/>
          <w:sz w:val="23"/>
          <w:szCs w:val="23"/>
        </w:rPr>
        <w:t xml:space="preserve">Prometheus collects metrics from every component in real time: agent decision latency, inference cost per request, retrieval coverage scores, Evaluator pass/fail rates, and human approval/rejection ratios. Grafana dashboards present these metrics in a format that both engineering teams and procurement leadership can read without translation. Alert thresholds are set for anomalous patterns — a sudden drop in Evaluator pass rate, for example, often indicates a retrieval quality problem or a shift in procurement request types that the current models were not calibrated for.</w:t>
      </w:r>
    </w:p>
    <w:p>
      <w:r>
        <w:t xml:space="preserve"/>
      </w:r>
    </w:p>
    <w:p>
      <w:pPr>
        <w:pStyle w:val="Heading2"/>
      </w:pPr>
      <w:r>
        <w:rPr>
          <w:b/>
          <w:bCs/>
        </w:rPr>
        <w:t xml:space="preserve">Data Drift Detection</w:t>
      </w:r>
    </w:p>
    <w:p>
      <w:pPr>
        <w:spacing w:after="180" w:line="280"/>
      </w:pPr>
      <w:r>
        <w:rPr>
          <w:rFonts w:ascii="Georgia" w:cs="Georgia" w:eastAsia="Georgia" w:hAnsi="Georgia"/>
          <w:color w:val="1A1A1A"/>
          <w:sz w:val="23"/>
          <w:szCs w:val="23"/>
        </w:rPr>
        <w:t xml:space="preserve">Supplier performance and pricing behavior change over time. The drift detection layer monitors the statistical distribution of incoming data against the distributions the models were trained on. When meaningful deviation is detected — a supplier's delivery reliability metric drifting outside its historical band, or pricing data for a category shifting in a way that makes current benchmarks unreliable — the system flags the affected models for review and, where warranted, triggers a retraining pipeline.</w:t>
      </w:r>
    </w:p>
    <w:p>
      <w:r>
        <w:t xml:space="preserve"/>
      </w:r>
    </w:p>
    <w:p>
      <w:pPr>
        <w:pStyle w:val="Heading2"/>
      </w:pPr>
      <w:r>
        <w:rPr>
          <w:b/>
          <w:bCs/>
        </w:rPr>
        <w:t xml:space="preserve">Learning from Human Feedback</w:t>
      </w:r>
    </w:p>
    <w:p>
      <w:pPr>
        <w:spacing w:after="180" w:line="280"/>
      </w:pPr>
      <w:r>
        <w:rPr>
          <w:rFonts w:ascii="Georgia" w:cs="Georgia" w:eastAsia="Georgia" w:hAnsi="Georgia"/>
          <w:color w:val="1A1A1A"/>
          <w:sz w:val="23"/>
          <w:szCs w:val="23"/>
        </w:rPr>
        <w:t xml:space="preserve">Every approval, rejection, and revision in the Human Approval Gateway is a structured feedback signal. Patterns in rejections are particularly informative: if procurement managers are consistently overriding the system's recommendation in a specific category or for a specific type of supplier, that is a signal that the relevant agent's reasoning model needs adjustment. These patterns are analyzed automatically, and when feedback volume reaches statistical significance thresholds, retraining pipelines are triggered via SageMaker or Kubeflow. Prompt templates and retrieval configurations go through controlled version management, with rollback capability if a new version degrades performance.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20"/>
              <w:bottom w:type="dxa" w:w="120"/>
              <w:right w:type="dxa" w:w="220"/>
            </w:tcMar>
          </w:tcPr>
          <w:p>
            <w:pPr>
              <w:spacing w:after="0"/>
            </w:pPr>
            <w:r>
              <w:rPr>
                <w:rFonts w:ascii="Arial" w:cs="Arial" w:eastAsia="Arial" w:hAnsi="Arial"/>
                <w:b/>
                <w:bCs/>
                <w:color w:val="FFFFFF"/>
                <w:sz w:val="24"/>
                <w:szCs w:val="24"/>
              </w:rPr>
              <w:t xml:space="preserve">Conclusion</w:t>
            </w:r>
          </w:p>
        </w:tc>
      </w:tr>
    </w:tbl>
    <w:p>
      <w:r>
        <w:t xml:space="preserve"/>
      </w:r>
    </w:p>
    <w:p>
      <w:pPr>
        <w:pStyle w:val="Heading1"/>
      </w:pPr>
      <w:r>
        <w:rPr>
          <w:b/>
          <w:bCs/>
        </w:rPr>
        <w:t xml:space="preserve">Where the Value Actually Is</w:t>
      </w:r>
    </w:p>
    <w:p>
      <w:pPr>
        <w:spacing w:after="180" w:line="280"/>
      </w:pPr>
      <w:r>
        <w:rPr>
          <w:rFonts w:ascii="Georgia" w:cs="Georgia" w:eastAsia="Georgia" w:hAnsi="Georgia"/>
          <w:color w:val="1A1A1A"/>
          <w:sz w:val="23"/>
          <w:szCs w:val="23"/>
        </w:rPr>
        <w:t xml:space="preserve">Enterprise procurement has been one of the last operational functions to benefit meaningfully from AI. The reasons are understandable: the domain involves complex compliance constraints, consequential financial commitments, sensitive vendor relationships, and multi-system data that resists easy integration. Most AI tools were simply not designed to handle all of that at once.</w:t>
      </w:r>
    </w:p>
    <w:p>
      <w:pPr>
        <w:spacing w:after="180" w:line="280"/>
      </w:pPr>
      <w:r>
        <w:rPr>
          <w:rFonts w:ascii="Georgia" w:cs="Georgia" w:eastAsia="Georgia" w:hAnsi="Georgia"/>
          <w:color w:val="1A1A1A"/>
          <w:sz w:val="23"/>
          <w:szCs w:val="23"/>
        </w:rPr>
        <w:t xml:space="preserve">What has changed is not the complexity of procurement. What has changed is the maturity of the components required to address it: retrieval systems that can handle hybrid enterprise data reliably, knowledge graph platforms that scale to the relational complexity of large supplier ecosystems, multi-agent frameworks with deterministic orchestration, and evaluation mechanisms that make it safe to act on AI-generated recommendations without a full manual review of every step.</w:t>
      </w:r>
    </w:p>
    <w:p>
      <w:pPr>
        <w:spacing w:after="180" w:line="280"/>
      </w:pPr>
      <w:r>
        <w:rPr>
          <w:rFonts w:ascii="Georgia" w:cs="Georgia" w:eastAsia="Georgia" w:hAnsi="Georgia"/>
          <w:color w:val="1A1A1A"/>
          <w:sz w:val="23"/>
          <w:szCs w:val="23"/>
        </w:rPr>
        <w:t xml:space="preserve">ProcureMind OS assembles these components into an architecture that is designed to be deployed, not just demonstrated. The worked example in Section 9 is intentionally specific — not to suggest that every procurement scenario is that clean, but to show that the architecture can handle the kind of layered complexity that makes real procurement decisions hard: a regulatory flag, an alternative resolution path, a contract clause risk, a timeline constraint, a pricing discrepancy, and a human decision at the end that is better for having all of that surfaced clearly.</w:t>
      </w:r>
    </w:p>
    <w:p>
      <w:pPr>
        <w:spacing w:after="180" w:line="280"/>
      </w:pPr>
      <w:r>
        <w:rPr>
          <w:rFonts w:ascii="Georgia" w:cs="Georgia" w:eastAsia="Georgia" w:hAnsi="Georgia"/>
          <w:color w:val="1A1A1A"/>
          <w:sz w:val="23"/>
          <w:szCs w:val="23"/>
        </w:rPr>
        <w:t xml:space="preserve">The limitations section is there because they are real. Graph completeness requires operational investment. Retrieval quality sets a ceiling that the architecture cannot raise through reasoning alone. ERP integration complexity varies in ways that matter for implementation timelines. Human oversight of high-stakes decisions is not optional. These are not reasons to avoid building this system. They are the things an implementation team needs to understand clearly before they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028090" w:sz="16"/>
              <w:bottom w:val="single" w:color="CCCCCC" w:sz="1"/>
              <w:right w:val="none" w:color="FFFFFF" w:sz="0"/>
            </w:tcBorders>
            <w:shd w:fill="EBF5FB" w:val="clear"/>
            <w:tcMar>
              <w:top w:type="dxa" w:w="120"/>
              <w:left w:type="dxa" w:w="0"/>
              <w:bottom w:type="dxa" w:w="120"/>
              <w:right w:type="dxa" w:w="0"/>
            </w:tcMar>
          </w:tcPr>
          <w:p>
            <w:r>
              <w:t xml:space="preserve"/>
            </w:r>
          </w:p>
        </w:tc>
        <w:tc>
          <w:tcPr>
            <w:tcW w:type="dxa" w:w="9160"/>
            <w:tcBorders>
              <w:top w:val="single" w:color="CCCCCC" w:sz="1"/>
              <w:left w:val="none" w:color="FFFFFF" w:sz="0"/>
              <w:bottom w:val="single" w:color="CCCCCC" w:sz="1"/>
              <w:right w:val="single" w:color="CCCCCC" w:sz="1"/>
            </w:tcBorders>
            <w:shd w:fill="EBF5FB" w:val="clear"/>
            <w:tcMar>
              <w:top w:type="dxa" w:w="140"/>
              <w:left w:type="dxa" w:w="200"/>
              <w:bottom w:type="dxa" w:w="140"/>
              <w:right w:type="dxa" w:w="200"/>
            </w:tcMar>
          </w:tcPr>
          <w:p>
            <w:pPr>
              <w:spacing w:after="0"/>
            </w:pPr>
            <w:r>
              <w:rPr>
                <w:rFonts w:ascii="Georgia" w:cs="Georgia" w:eastAsia="Georgia" w:hAnsi="Georgia"/>
                <w:i/>
                <w:iCs/>
                <w:color w:val="1E4A6A"/>
                <w:sz w:val="22"/>
                <w:szCs w:val="22"/>
              </w:rPr>
              <w:t xml:space="preserve">The procurement function that invests in this architecture will not simply be automating what its people currently do. It will be building an institutional intelligence layer that gets better over time, surfaces risks earlier than any manual process can, and gives its people the context they need to make good decisions quickly — which is what procurement has always needed and has rarely had.</w:t>
            </w:r>
          </w:p>
        </w:tc>
      </w:tr>
    </w:tbl>
    <w:p>
      <w:r>
        <w:t xml:space="preserve"/>
      </w:r>
    </w:p>
    <w:p>
      <w:pPr>
        <w:pBdr>
          <w:bottom w:val="single" w:color="028090" w:sz="6" w:space="1"/>
        </w:pBdr>
        <w:spacing w:after="240"/>
      </w:pPr>
      <w:r>
        <w:t xml:space="preserve"/>
      </w:r>
    </w:p>
    <w:p>
      <w:pPr>
        <w:spacing w:after="100"/>
      </w:pPr>
      <w:r>
        <w:rPr>
          <w:rFonts w:ascii="Arial" w:cs="Arial" w:eastAsia="Arial" w:hAnsi="Arial"/>
          <w:b/>
          <w:bCs/>
          <w:color w:val="0D1B2A"/>
          <w:sz w:val="26"/>
          <w:szCs w:val="26"/>
        </w:rPr>
        <w:t xml:space="preserve">About the Author</w:t>
      </w:r>
    </w:p>
    <w:p>
      <w:pPr>
        <w:spacing w:after="180" w:line="280"/>
      </w:pPr>
      <w:r>
        <w:rPr>
          <w:rFonts w:ascii="Georgia" w:cs="Georgia" w:eastAsia="Georgia" w:hAnsi="Georgia"/>
          <w:color w:val="1A1A1A"/>
          <w:sz w:val="23"/>
          <w:szCs w:val="23"/>
        </w:rPr>
        <w:t xml:space="preserve">Ganesh Prasad Bhandari is an AI Architect at AllnovateHub. His work focuses on production agentic AI systems, enterprise RAG architectures, and MLOps for complex operational domains including supply chain, procurement, and financial services. He designed the ProcureMind OS architecture in response to observed failure patterns in enterprise AI procurement projects, where technically capable models were deployed without the surrounding architecture required for reliable production operation.</w:t>
      </w:r>
    </w:p>
    <w:p>
      <w:r>
        <w:t xml:space="preserve"/>
      </w:r>
    </w:p>
    <w:p>
      <w:pPr>
        <w:spacing w:after="100"/>
      </w:pPr>
      <w:r>
        <w:rPr>
          <w:rFonts w:ascii="Arial" w:cs="Arial" w:eastAsia="Arial" w:hAnsi="Arial"/>
          <w:b/>
          <w:bCs/>
          <w:color w:val="0D1B2A"/>
          <w:sz w:val="26"/>
          <w:szCs w:val="26"/>
        </w:rPr>
        <w:t xml:space="preserve">About AllnovateHub</w:t>
      </w:r>
    </w:p>
    <w:p>
      <w:pPr>
        <w:spacing w:after="180" w:line="280"/>
      </w:pPr>
      <w:r>
        <w:rPr>
          <w:rFonts w:ascii="Georgia" w:cs="Georgia" w:eastAsia="Georgia" w:hAnsi="Georgia"/>
          <w:color w:val="1A1A1A"/>
          <w:sz w:val="23"/>
          <w:szCs w:val="23"/>
        </w:rPr>
        <w:t xml:space="preserve">AllnovateHub builds production-grade AI architectures for enterprise operations. The firm works at the intersection of AI systems engineering, domain expertise, and enterprise governance to deliver systems that organizations can operate, audit, and improve over time.</w:t>
      </w:r>
    </w:p>
    <w:p>
      <w:r>
        <w:t xml:space="preserve"/>
      </w:r>
    </w:p>
    <w:p>
      <w:pPr>
        <w:pBdr>
          <w:bottom w:val="single" w:color="028090" w:sz="6" w:space="1"/>
        </w:pBdr>
        <w:spacing w:after="240"/>
      </w:pPr>
      <w:r>
        <w:t xml:space="preserve"/>
      </w:r>
    </w:p>
    <w:p>
      <w:pPr>
        <w:spacing w:after="160"/>
      </w:pPr>
      <w:r>
        <w:rPr>
          <w:rFonts w:ascii="Arial" w:cs="Arial" w:eastAsia="Arial" w:hAnsi="Arial"/>
          <w:b/>
          <w:bCs/>
          <w:color w:val="0D1B2A"/>
          <w:sz w:val="28"/>
          <w:szCs w:val="28"/>
        </w:rPr>
        <w:t xml:space="preserve">References</w:t>
      </w:r>
    </w:p>
    <w:p>
      <w:pPr>
        <w:spacing w:after="180" w:line="280"/>
      </w:pPr>
      <w:r>
        <w:rPr>
          <w:rFonts w:ascii="Georgia" w:cs="Georgia" w:eastAsia="Georgia" w:hAnsi="Georgia"/>
          <w:color w:val="1A1A1A"/>
          <w:sz w:val="23"/>
          <w:szCs w:val="23"/>
        </w:rPr>
        <w:t xml:space="preserve">The following references are organized by category. Peer-reviewed sources are listed first, followed by technical documentation and industry sources.</w:t>
      </w:r>
    </w:p>
    <w:p>
      <w:r>
        <w:t xml:space="preserve"/>
      </w:r>
    </w:p>
    <w:p>
      <w:pPr>
        <w:spacing w:after="80"/>
      </w:pPr>
      <w:r>
        <w:rPr>
          <w:rFonts w:ascii="Arial" w:cs="Arial" w:eastAsia="Arial" w:hAnsi="Arial"/>
          <w:b/>
          <w:bCs/>
          <w:color w:val="028090"/>
          <w:sz w:val="22"/>
          <w:szCs w:val="22"/>
        </w:rPr>
        <w:t xml:space="preserve">Foundational Research</w:t>
      </w:r>
    </w:p>
    <w:p>
      <w:pPr>
        <w:pStyle w:val="ListParagraph"/>
        <w:numPr>
          <w:ilvl w:val="0"/>
          <w:numId w:val="2"/>
        </w:numPr>
        <w:spacing w:after="100"/>
      </w:pPr>
      <w:r>
        <w:rPr>
          <w:rFonts w:ascii="Georgia" w:cs="Georgia" w:eastAsia="Georgia" w:hAnsi="Georgia"/>
          <w:color w:val="1A1A1A"/>
          <w:sz w:val="22"/>
          <w:szCs w:val="22"/>
        </w:rPr>
        <w:t xml:space="preserve">Lewis, P., Perez, E., Piktus, A., Petroni, F., Karpukhin, V., Goyal, N., ... &amp; Kiela, D. (2020). Retrieval-Augmented Generation for Knowledge-Intensive NLP Tasks. Advances in Neural Information Processing Systems, 33, 9459–9474. https://arxiv.org/abs/2005.11401</w:t>
      </w:r>
    </w:p>
    <w:p>
      <w:pPr>
        <w:pStyle w:val="ListParagraph"/>
        <w:numPr>
          <w:ilvl w:val="0"/>
          <w:numId w:val="2"/>
        </w:numPr>
        <w:spacing w:after="100"/>
      </w:pPr>
      <w:r>
        <w:rPr>
          <w:rFonts w:ascii="Georgia" w:cs="Georgia" w:eastAsia="Georgia" w:hAnsi="Georgia"/>
          <w:color w:val="1A1A1A"/>
          <w:sz w:val="22"/>
          <w:szCs w:val="22"/>
        </w:rPr>
        <w:t xml:space="preserve">Asai, A., Wu, Z., Wang, Y., Sil, A., &amp; Hajishirzi, H. (2023). Self-RAG: Learning to Retrieve, Generate and Critique through Self-Reflection. arXiv preprint arXiv:2310.11511. https://arxiv.org/abs/2310.11511</w:t>
      </w:r>
    </w:p>
    <w:p>
      <w:pPr>
        <w:pStyle w:val="ListParagraph"/>
        <w:numPr>
          <w:ilvl w:val="0"/>
          <w:numId w:val="2"/>
        </w:numPr>
        <w:spacing w:after="100"/>
      </w:pPr>
      <w:r>
        <w:rPr>
          <w:rFonts w:ascii="Georgia" w:cs="Georgia" w:eastAsia="Georgia" w:hAnsi="Georgia"/>
          <w:color w:val="1A1A1A"/>
          <w:sz w:val="22"/>
          <w:szCs w:val="22"/>
        </w:rPr>
        <w:t xml:space="preserve">Yao, S., Zhao, J., Yu, D., Du, N., Shafran, I., Narasimhan, K., &amp; Cao, Y. (2023). ReAct: Synergizing Reasoning and Acting in Language Models. International Conference on Learning Representations (ICLR 2023). https://arxiv.org/abs/2210.03629</w:t>
      </w:r>
    </w:p>
    <w:p>
      <w:pPr>
        <w:pStyle w:val="ListParagraph"/>
        <w:numPr>
          <w:ilvl w:val="0"/>
          <w:numId w:val="2"/>
        </w:numPr>
        <w:spacing w:after="100"/>
      </w:pPr>
      <w:r>
        <w:rPr>
          <w:rFonts w:ascii="Georgia" w:cs="Georgia" w:eastAsia="Georgia" w:hAnsi="Georgia"/>
          <w:color w:val="1A1A1A"/>
          <w:sz w:val="22"/>
          <w:szCs w:val="22"/>
        </w:rPr>
        <w:t xml:space="preserve">Sculley, D., Holt, G., Golovin, D., Davydov, E., Phillips, T., Ebner, D., ... &amp; Dennison, D. (2015). Hidden Technical Debt in Machine Learning Systems. Advances in Neural Information Processing Systems, 28. https://proceedings.neurips.cc/paper/2015/hash/86df7dcfd896fcaf2674f757a2463eba-Abstract.html</w:t>
      </w:r>
    </w:p>
    <w:p>
      <w:pPr>
        <w:pStyle w:val="ListParagraph"/>
        <w:numPr>
          <w:ilvl w:val="0"/>
          <w:numId w:val="2"/>
        </w:numPr>
        <w:spacing w:after="100"/>
      </w:pPr>
      <w:r>
        <w:rPr>
          <w:rFonts w:ascii="Georgia" w:cs="Georgia" w:eastAsia="Georgia" w:hAnsi="Georgia"/>
          <w:color w:val="1A1A1A"/>
          <w:sz w:val="22"/>
          <w:szCs w:val="22"/>
        </w:rPr>
        <w:t xml:space="preserve">Anthropic (2023). Model Card and Evaluations for Claude Models. Anthropic Technical Documentation. https://www.anthropic.com/model-card</w:t>
      </w:r>
    </w:p>
    <w:p>
      <w:r>
        <w:t xml:space="preserve"/>
      </w:r>
    </w:p>
    <w:p>
      <w:pPr>
        <w:spacing w:after="80"/>
      </w:pPr>
      <w:r>
        <w:rPr>
          <w:rFonts w:ascii="Arial" w:cs="Arial" w:eastAsia="Arial" w:hAnsi="Arial"/>
          <w:b/>
          <w:bCs/>
          <w:color w:val="028090"/>
          <w:sz w:val="22"/>
          <w:szCs w:val="22"/>
        </w:rPr>
        <w:t xml:space="preserve">Multi-Agent Systems and Orchestration</w:t>
      </w:r>
    </w:p>
    <w:p>
      <w:pPr>
        <w:pStyle w:val="ListParagraph"/>
        <w:numPr>
          <w:ilvl w:val="0"/>
          <w:numId w:val="2"/>
        </w:numPr>
        <w:spacing w:after="100"/>
      </w:pPr>
      <w:r>
        <w:rPr>
          <w:rFonts w:ascii="Georgia" w:cs="Georgia" w:eastAsia="Georgia" w:hAnsi="Georgia"/>
          <w:color w:val="1A1A1A"/>
          <w:sz w:val="22"/>
          <w:szCs w:val="22"/>
        </w:rPr>
        <w:t xml:space="preserve">Chase, H. (2023). LangChain: Building Applications with LLMs Through Composability. GitHub Repository. https://github.com/langchain-ai/langchain. Accessed March 2025.</w:t>
      </w:r>
    </w:p>
    <w:p>
      <w:pPr>
        <w:pStyle w:val="ListParagraph"/>
        <w:numPr>
          <w:ilvl w:val="0"/>
          <w:numId w:val="2"/>
        </w:numPr>
        <w:spacing w:after="100"/>
      </w:pPr>
      <w:r>
        <w:rPr>
          <w:rFonts w:ascii="Georgia" w:cs="Georgia" w:eastAsia="Georgia" w:hAnsi="Georgia"/>
          <w:color w:val="1A1A1A"/>
          <w:sz w:val="22"/>
          <w:szCs w:val="22"/>
        </w:rPr>
        <w:t xml:space="preserve">LangChain AI (2024). LangGraph: Building Stateful, Multi-Actor Applications with LLMs. GitHub Repository and Documentation. https://github.com/langchain-ai/langgraph. Accessed March 2025.</w:t>
      </w:r>
    </w:p>
    <w:p>
      <w:pPr>
        <w:pStyle w:val="ListParagraph"/>
        <w:numPr>
          <w:ilvl w:val="0"/>
          <w:numId w:val="2"/>
        </w:numPr>
        <w:spacing w:after="100"/>
      </w:pPr>
      <w:r>
        <w:rPr>
          <w:rFonts w:ascii="Georgia" w:cs="Georgia" w:eastAsia="Georgia" w:hAnsi="Georgia"/>
          <w:color w:val="1A1A1A"/>
          <w:sz w:val="22"/>
          <w:szCs w:val="22"/>
        </w:rPr>
        <w:t xml:space="preserve">Anthropic (2024). Model Context Protocol (MCP): An Open Standard for Connecting AI Assistants to External Data Sources. https://www.anthropic.com/news/model-context-protocol. Accessed March 2025.</w:t>
      </w:r>
    </w:p>
    <w:p>
      <w:r>
        <w:t xml:space="preserve"/>
      </w:r>
    </w:p>
    <w:p>
      <w:pPr>
        <w:spacing w:after="80"/>
      </w:pPr>
      <w:r>
        <w:rPr>
          <w:rFonts w:ascii="Arial" w:cs="Arial" w:eastAsia="Arial" w:hAnsi="Arial"/>
          <w:b/>
          <w:bCs/>
          <w:color w:val="028090"/>
          <w:sz w:val="22"/>
          <w:szCs w:val="22"/>
        </w:rPr>
        <w:t xml:space="preserve">Knowledge Graph and Retrieval Infrastructure</w:t>
      </w:r>
    </w:p>
    <w:p>
      <w:pPr>
        <w:pStyle w:val="ListParagraph"/>
        <w:numPr>
          <w:ilvl w:val="0"/>
          <w:numId w:val="2"/>
        </w:numPr>
        <w:spacing w:after="100"/>
      </w:pPr>
      <w:r>
        <w:rPr>
          <w:rFonts w:ascii="Georgia" w:cs="Georgia" w:eastAsia="Georgia" w:hAnsi="Georgia"/>
          <w:color w:val="1A1A1A"/>
          <w:sz w:val="22"/>
          <w:szCs w:val="22"/>
        </w:rPr>
        <w:t xml:space="preserve">Neo4j Inc. (2024). Neo4j Graph Database Documentation: Cypher Query Language and Graph Data Science Library. https://neo4j.com/docs. Accessed February 2025.</w:t>
      </w:r>
    </w:p>
    <w:p>
      <w:pPr>
        <w:pStyle w:val="ListParagraph"/>
        <w:numPr>
          <w:ilvl w:val="0"/>
          <w:numId w:val="2"/>
        </w:numPr>
        <w:spacing w:after="100"/>
      </w:pPr>
      <w:r>
        <w:rPr>
          <w:rFonts w:ascii="Georgia" w:cs="Georgia" w:eastAsia="Georgia" w:hAnsi="Georgia"/>
          <w:color w:val="1A1A1A"/>
          <w:sz w:val="22"/>
          <w:szCs w:val="22"/>
        </w:rPr>
        <w:t xml:space="preserve">Amazon Web Services (2024). Amazon Neptune: Graph Database Service Documentation. https://docs.aws.amazon.com/neptune. Accessed February 2025.</w:t>
      </w:r>
    </w:p>
    <w:p>
      <w:pPr>
        <w:pStyle w:val="ListParagraph"/>
        <w:numPr>
          <w:ilvl w:val="0"/>
          <w:numId w:val="2"/>
        </w:numPr>
        <w:spacing w:after="100"/>
      </w:pPr>
      <w:r>
        <w:rPr>
          <w:rFonts w:ascii="Georgia" w:cs="Georgia" w:eastAsia="Georgia" w:hAnsi="Georgia"/>
          <w:color w:val="1A1A1A"/>
          <w:sz w:val="22"/>
          <w:szCs w:val="22"/>
        </w:rPr>
        <w:t xml:space="preserve">Johnson, J., Douze, M., &amp; Jégou, H. (2019). Billion-Scale Similarity Search with GPUs. IEEE Transactions on Big Data, 7(3), 535–547. https://arxiv.org/abs/1702.08734 (FAISS)</w:t>
      </w:r>
    </w:p>
    <w:p>
      <w:r>
        <w:t xml:space="preserve"/>
      </w:r>
    </w:p>
    <w:p>
      <w:pPr>
        <w:spacing w:after="80"/>
      </w:pPr>
      <w:r>
        <w:rPr>
          <w:rFonts w:ascii="Arial" w:cs="Arial" w:eastAsia="Arial" w:hAnsi="Arial"/>
          <w:b/>
          <w:bCs/>
          <w:color w:val="028090"/>
          <w:sz w:val="22"/>
          <w:szCs w:val="22"/>
        </w:rPr>
        <w:t xml:space="preserve">MLOps and Production Systems</w:t>
      </w:r>
    </w:p>
    <w:p>
      <w:pPr>
        <w:pStyle w:val="ListParagraph"/>
        <w:numPr>
          <w:ilvl w:val="0"/>
          <w:numId w:val="2"/>
        </w:numPr>
        <w:spacing w:after="100"/>
      </w:pPr>
      <w:r>
        <w:rPr>
          <w:rFonts w:ascii="Georgia" w:cs="Georgia" w:eastAsia="Georgia" w:hAnsi="Georgia"/>
          <w:color w:val="1A1A1A"/>
          <w:sz w:val="22"/>
          <w:szCs w:val="22"/>
        </w:rPr>
        <w:t xml:space="preserve">Amazon Web Services (2024). Amazon SageMaker: Machine Learning in Production Documentation. https://docs.aws.amazon.com/sagemaker. Accessed February 2025.</w:t>
      </w:r>
    </w:p>
    <w:p>
      <w:pPr>
        <w:pStyle w:val="ListParagraph"/>
        <w:numPr>
          <w:ilvl w:val="0"/>
          <w:numId w:val="2"/>
        </w:numPr>
        <w:spacing w:after="100"/>
      </w:pPr>
      <w:r>
        <w:rPr>
          <w:rFonts w:ascii="Georgia" w:cs="Georgia" w:eastAsia="Georgia" w:hAnsi="Georgia"/>
          <w:color w:val="1A1A1A"/>
          <w:sz w:val="22"/>
          <w:szCs w:val="22"/>
        </w:rPr>
        <w:t xml:space="preserve">Google (2023). Kubeflow Pipelines: Machine Learning Workflows on Kubernetes. https://www.kubeflow.org/docs/components/pipelines. Accessed February 2025.</w:t>
      </w:r>
    </w:p>
    <w:p>
      <w:pPr>
        <w:pStyle w:val="ListParagraph"/>
        <w:numPr>
          <w:ilvl w:val="0"/>
          <w:numId w:val="2"/>
        </w:numPr>
        <w:spacing w:after="100"/>
      </w:pPr>
      <w:r>
        <w:rPr>
          <w:rFonts w:ascii="Georgia" w:cs="Georgia" w:eastAsia="Georgia" w:hAnsi="Georgia"/>
          <w:color w:val="1A1A1A"/>
          <w:sz w:val="22"/>
          <w:szCs w:val="22"/>
        </w:rPr>
        <w:t xml:space="preserve">Prometheus Authors (2024). Prometheus Monitoring System Documentation. https://prometheus.io/docs. Accessed March 2025.</w:t>
      </w:r>
    </w:p>
    <w:p>
      <w:pPr>
        <w:pStyle w:val="ListParagraph"/>
        <w:numPr>
          <w:ilvl w:val="0"/>
          <w:numId w:val="2"/>
        </w:numPr>
        <w:spacing w:after="100"/>
      </w:pPr>
      <w:r>
        <w:rPr>
          <w:rFonts w:ascii="Georgia" w:cs="Georgia" w:eastAsia="Georgia" w:hAnsi="Georgia"/>
          <w:color w:val="1A1A1A"/>
          <w:sz w:val="22"/>
          <w:szCs w:val="22"/>
        </w:rPr>
        <w:t xml:space="preserve">Microsoft Azure (2024). Azure Kubernetes Service (AKS) and Azure OpenAI Service: Production Deployment Documentation. https://docs.microsoft.com/azure/aks and https://docs.microsoft.com/azure/ai-services/openai. Accessed March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spacing w:before="80"/>
    </w:pPr>
    <w:r>
      <w:rPr>
        <w:rFonts w:ascii="Arial" w:cs="Arial" w:eastAsia="Arial" w:hAnsi="Arial"/>
        <w:color w:val="64748B"/>
        <w:sz w:val="18"/>
        <w:szCs w:val="18"/>
      </w:rPr>
      <w:t xml:space="preserve">© 2025 Ganesh Prasad Bhandari — AllnovateHub. All Rights Reserved.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spacing w:after="80"/>
    </w:pPr>
    <w:r>
      <w:rPr>
        <w:rFonts w:ascii="Arial" w:cs="Arial" w:eastAsia="Arial" w:hAnsi="Arial"/>
        <w:color w:val="64748B"/>
        <w:sz w:val="18"/>
        <w:szCs w:val="18"/>
      </w:rPr>
      <w:t xml:space="preserve">ProcureMind OS™  —  Agentic Procurement Architecture  —  AllnovateHub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02809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d7ff7511a95d7dd93645a2e5ab8e02a23855bf3.jpg"/><Relationship Id="rId9" Type="http://schemas.openxmlformats.org/officeDocument/2006/relationships/image" Target="media/94cd8139eeaad8776ba8db1d7533710a152fa5ad.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ProcureMind OS: Agentic Procurement Architecture</dc:title>
  <dc:subject>Enterprise AI Architecture, Procurement, Agentic Systems</dc:subject>
  <dc:creator>Ganesh Prasad Bhandari</dc:creator>
  <cp:keywords>Procurement AI, Agentic Architecture, RAG, Knowledge Graph, Enterprise MLOps</cp:keywords>
  <dc:description>White Paper — Autonomous Procurement Intelligence for Enterprise Production</dc:description>
  <cp:lastModifiedBy>Un-named</cp:lastModifiedBy>
  <cp:revision>1</cp:revision>
  <dcterms:created xsi:type="dcterms:W3CDTF">2026-03-08T06:39:17.929Z</dcterms:created>
  <dcterms:modified xsi:type="dcterms:W3CDTF">2026-03-08T06:39:17.930Z</dcterms:modified>
</cp:coreProperties>
</file>

<file path=docProps/custom.xml><?xml version="1.0" encoding="utf-8"?>
<Properties xmlns="http://schemas.openxmlformats.org/officeDocument/2006/custom-properties" xmlns:vt="http://schemas.openxmlformats.org/officeDocument/2006/docPropsVTypes"/>
</file>