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b/>
          <w:color w:val="0F243A"/>
          <w:sz w:val="40"/>
        </w:rPr>
        <w:t>Cabin Vibration Control: Closed-Die Hot Forging and Heat Treatment of Heavy Truck Suspension Mount Brackets</w:t>
      </w:r>
    </w:p>
    <w:p>
      <w:pPr>
        <w:spacing w:before="320" w:after="120"/>
      </w:pPr>
      <w:r>
        <w:rPr>
          <w:rFonts w:ascii="Calibri" w:hAnsi="Calibri"/>
          <w:b/>
          <w:color w:val="E87E31"/>
          <w:sz w:val="28"/>
        </w:rPr>
        <w:t>Project Overview</w:t>
      </w:r>
    </w:p>
    <w:p>
      <w:pPr>
        <w:pStyle w:val="ListBullet"/>
        <w:spacing w:after="40"/>
        <w:ind w:left="360"/>
      </w:pPr>
      <w:r>
        <w:rPr>
          <w:b/>
        </w:rPr>
        <w:t>Client / Industry</w:t>
      </w:r>
      <w:r>
        <w:t>: Heavy-Duty Commercial Truck OEM</w:t>
      </w:r>
    </w:p>
    <w:p>
      <w:pPr>
        <w:pStyle w:val="ListBullet"/>
        <w:spacing w:after="40"/>
        <w:ind w:left="360"/>
      </w:pPr>
      <w:r>
        <w:rPr>
          <w:b/>
        </w:rPr>
        <w:t>Component</w:t>
      </w:r>
      <w:r>
        <w:t>: Cabin Suspension Mount Brackets</w:t>
      </w:r>
    </w:p>
    <w:p>
      <w:pPr>
        <w:pStyle w:val="ListBullet"/>
        <w:spacing w:after="40"/>
        <w:ind w:left="360"/>
      </w:pPr>
      <w:r>
        <w:rPr>
          <w:b/>
        </w:rPr>
        <w:t>Material</w:t>
      </w:r>
      <w:r>
        <w:t>: High-Tensile Carbon Steel (AISI 4140)</w:t>
      </w:r>
    </w:p>
    <w:p>
      <w:pPr>
        <w:pStyle w:val="ListBullet"/>
        <w:spacing w:after="40"/>
        <w:ind w:left="360"/>
      </w:pPr>
      <w:r>
        <w:rPr>
          <w:b/>
        </w:rPr>
        <w:t>Manufacturing Process</w:t>
      </w:r>
      <w:r>
        <w:t>: Closed-Die Hot Forging, Quench-and-Temper Heat Treatment, and CNC Machining</w:t>
      </w:r>
    </w:p>
    <w:p>
      <w:pPr>
        <w:pStyle w:val="ListBullet"/>
        <w:spacing w:after="40"/>
        <w:ind w:left="360"/>
      </w:pPr>
      <w:r>
        <w:rPr>
          <w:b/>
        </w:rPr>
        <w:t>Key Outcome</w:t>
      </w:r>
      <w:r>
        <w:t>: Replaced prone-to-failure cast brackets with forged brackets, increasing load cycles by 300% and passing 10-million cycle fatigue tests.</w:t>
      </w:r>
    </w:p>
    <w:p>
      <w:pPr>
        <w:spacing w:before="120" w:after="120"/>
        <w:pBdr>
          <w:bottom w:val="single" w:sz="6" w:space="1" w:color="CCCCCC"/>
        </w:pBdr>
      </w:pPr>
    </w:p>
    <w:p>
      <w:pPr>
        <w:spacing w:before="320" w:after="120"/>
      </w:pPr>
      <w:r>
        <w:rPr>
          <w:rFonts w:ascii="Calibri" w:hAnsi="Calibri"/>
          <w:b/>
          <w:color w:val="E87E31"/>
          <w:sz w:val="28"/>
        </w:rPr>
        <w:t>Introduction</w:t>
      </w:r>
    </w:p>
    <w:p>
      <w:pPr>
        <w:spacing w:after="160" w:line="276" w:lineRule="auto"/>
      </w:pPr>
      <w:r>
        <w:t>Heavy-duty long-haul trucks rely on cabin suspension brackets to isolate the driver from engine vibration and road shocks. The client’s existing cast steel brackets suffered from micro-porosity defects, leading to bracket fracture failures under heavy off-road payloads.</w:t>
      </w:r>
    </w:p>
    <w:p>
      <w:pPr>
        <w:spacing w:before="320" w:after="120"/>
      </w:pPr>
      <w:r>
        <w:rPr>
          <w:rFonts w:ascii="Calibri" w:hAnsi="Calibri"/>
          <w:b/>
          <w:color w:val="E87E31"/>
          <w:sz w:val="28"/>
        </w:rPr>
        <w:t>The Challenge</w:t>
      </w:r>
    </w:p>
    <w:p>
      <w:pPr>
        <w:spacing w:after="160" w:line="276" w:lineRule="auto"/>
      </w:pPr>
      <w:r>
        <w:t>The bracket is a safety-critical component. The OEM required the mount to support continuous dynamic loads of up to 4.5 tons without crack propagation. Sourcing from generic web portals resulted in parts with inconsistent casting structures. To solve this, the client decided to transition to forged brackets but faced high tooling costs and complex heat-treatment specifications (hardness of 32-36 HRC with a tempered martensite microstructure).</w:t>
      </w:r>
    </w:p>
    <w:p>
      <w:pPr>
        <w:spacing w:before="320" w:after="120"/>
      </w:pPr>
      <w:r>
        <w:rPr>
          <w:rFonts w:ascii="Calibri" w:hAnsi="Calibri"/>
          <w:b/>
          <w:color w:val="E87E31"/>
          <w:sz w:val="28"/>
        </w:rPr>
        <w:t>The Solution</w:t>
      </w:r>
    </w:p>
    <w:p>
      <w:pPr>
        <w:spacing w:after="160" w:line="276" w:lineRule="auto"/>
      </w:pPr>
      <w:r>
        <w:t>Balbirds stepped in to manage the forging and metallurgy process:</w:t>
      </w:r>
    </w:p>
    <w:p>
      <w:pPr>
        <w:pStyle w:val="ListNumber"/>
        <w:spacing w:after="80"/>
      </w:pPr>
      <w:r>
        <w:rPr>
          <w:b/>
        </w:rPr>
        <w:t>Grain Flow Optimization</w:t>
      </w:r>
      <w:r>
        <w:t>: We ran finite element analysis (FEA) to design closed-die forging stages that aligned the steel's grain flow lines along the bracket's high-stress fillets.</w:t>
      </w:r>
    </w:p>
    <w:p>
      <w:pPr>
        <w:pStyle w:val="ListNumber"/>
        <w:spacing w:after="80"/>
      </w:pPr>
      <w:r>
        <w:rPr>
          <w:b/>
        </w:rPr>
        <w:t>Monitored Heat Treatment</w:t>
      </w:r>
      <w:r>
        <w:t>: We placed our Execution Cell at the heat-treatment node to log furnace temperatures, quenching oil temperatures, and tempering cycles.</w:t>
      </w:r>
    </w:p>
    <w:p>
      <w:pPr>
        <w:pStyle w:val="ListNumber"/>
        <w:spacing w:after="80"/>
      </w:pPr>
      <w:r>
        <w:rPr>
          <w:b/>
        </w:rPr>
        <w:t>Magnetic Particle Inspections (MPI)</w:t>
      </w:r>
      <w:r>
        <w:t>: 100% of forged parts underwent MPI to verify the absence of surface micro-cracks before final CNC boring.</w:t>
      </w:r>
    </w:p>
    <w:p>
      <w:pPr>
        <w:spacing w:before="320" w:after="120"/>
      </w:pPr>
      <w:r>
        <w:rPr>
          <w:rFonts w:ascii="Calibri" w:hAnsi="Calibri"/>
          <w:b/>
          <w:color w:val="E87E31"/>
          <w:sz w:val="28"/>
        </w:rPr>
        <w:t>The Outcome</w:t>
      </w:r>
    </w:p>
    <w:p>
      <w:pPr>
        <w:spacing w:after="160" w:line="276" w:lineRule="auto"/>
      </w:pPr>
      <w:r>
        <w:t>The forged AISI 4140 brackets showed zero internal defects. Physical testing demonstrated that the forged parts survived 10 million load cycles without crack initiation, completely eliminating warranty claims for cabin mount failures.</w:t>
      </w:r>
    </w:p>
    <w:p>
      <w:pPr>
        <w:spacing w:before="120" w:after="120"/>
        <w:pBdr>
          <w:bottom w:val="single" w:sz="6" w:space="1" w:color="CCCCCC"/>
        </w:pBdr>
      </w:pPr>
    </w:p>
    <w:p>
      <w:pPr>
        <w:spacing w:after="160" w:line="276" w:lineRule="auto"/>
      </w:pPr>
      <w:r>
        <w:t xml:space="preserve">👉 </w:t>
      </w:r>
      <w:r>
        <w:rPr>
          <w:b/>
        </w:rPr>
        <w:t>Sourcing forged suspension components?</w:t>
      </w:r>
      <w:r>
        <w:t xml:space="preserve"> </w:t>
      </w:r>
      <w:hyperlink r:id="rId9">
        <w:r>
          <w:rPr>
            <w:color w:val="0056B3"/>
            <w:u w:val="single"/>
          </w:rPr>
          <w:t>Read our quality handbook</w:t>
        </w:r>
      </w:hyperlink>
      <w:r>
        <w:t xml:space="preserve"> to learn how we manage metallurgical consistency.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albirdindustries.com/capab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