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4"/>
        </w:rPr>
        <w:t>WEEK 2 TASK</w:t>
      </w:r>
    </w:p>
    <w:p>
      <w:pPr>
        <w:jc w:val="center"/>
      </w:pPr>
      <w:r>
        <w:rPr>
          <w:b/>
          <w:color w:val="17365D"/>
          <w:sz w:val="46"/>
        </w:rPr>
        <w:t>Data Collection, Cleaning &amp; Preprocessing</w:t>
        <w:br/>
        <w:t>for Logistics Analysis</w:t>
      </w:r>
    </w:p>
    <w:p>
      <w:pPr>
        <w:jc w:val="center"/>
      </w:pPr>
      <w:r>
        <w:rPr>
          <w:i/>
          <w:color w:val="666666"/>
          <w:sz w:val="22"/>
        </w:rPr>
        <w:t>Python-based preprocessing pipeline using the UCI Online Retail dataset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b/>
                <w:color w:val="FFFFFF"/>
                <w:sz w:val="18"/>
              </w:rPr>
              <w:t>Project element</w:t>
            </w:r>
          </w:p>
        </w:tc>
        <w:tc>
          <w:tcPr>
            <w:tcW w:type="dxa" w:w="5040"/>
            <w:vAlign w:val="center"/>
            <w:shd w:fill="17365D"/>
          </w:tcPr>
          <w:p>
            <w:r/>
            <w:r>
              <w:rPr>
                <w:b/>
                <w:color w:val="FFFFFF"/>
                <w:sz w:val="18"/>
              </w:rPr>
              <w:t>Details</w:t>
            </w:r>
          </w:p>
        </w:tc>
      </w:tr>
      <w:tr>
        <w:tc>
          <w:tcPr>
            <w:tcW w:type="dxa" w:w="5040"/>
            <w:vAlign w:val="center"/>
          </w:tcPr>
          <w:p>
            <w:r/>
            <w:r>
              <w:rPr>
                <w:b w:val="0"/>
                <w:color w:val="222222"/>
                <w:sz w:val="17"/>
              </w:rPr>
              <w:t>Domain</w:t>
            </w:r>
          </w:p>
        </w:tc>
        <w:tc>
          <w:tcPr>
            <w:tcW w:type="dxa" w:w="5040"/>
            <w:vAlign w:val="center"/>
          </w:tcPr>
          <w:p>
            <w:r/>
            <w:r>
              <w:rPr>
                <w:b w:val="0"/>
                <w:color w:val="222222"/>
                <w:sz w:val="17"/>
              </w:rPr>
              <w:t>Logistics / Supply Chain Analytics</w:t>
            </w:r>
          </w:p>
        </w:tc>
      </w:tr>
      <w:tr>
        <w:tc>
          <w:tcPr>
            <w:tcW w:type="dxa" w:w="5040"/>
            <w:vAlign w:val="center"/>
          </w:tcPr>
          <w:p>
            <w:r/>
            <w:r>
              <w:rPr>
                <w:b w:val="0"/>
                <w:color w:val="222222"/>
                <w:sz w:val="17"/>
              </w:rPr>
              <w:t>Primary dataset</w:t>
            </w:r>
          </w:p>
        </w:tc>
        <w:tc>
          <w:tcPr>
            <w:tcW w:type="dxa" w:w="5040"/>
            <w:vAlign w:val="center"/>
          </w:tcPr>
          <w:p>
            <w:r/>
            <w:r>
              <w:rPr>
                <w:b w:val="0"/>
                <w:color w:val="222222"/>
                <w:sz w:val="17"/>
              </w:rPr>
              <w:t>UCI Online Retail</w:t>
            </w:r>
          </w:p>
        </w:tc>
      </w:tr>
      <w:tr>
        <w:tc>
          <w:tcPr>
            <w:tcW w:type="dxa" w:w="5040"/>
            <w:vAlign w:val="center"/>
          </w:tcPr>
          <w:p>
            <w:r/>
            <w:r>
              <w:rPr>
                <w:b w:val="0"/>
                <w:color w:val="222222"/>
                <w:sz w:val="17"/>
              </w:rPr>
              <w:t>Dataset period</w:t>
            </w:r>
          </w:p>
        </w:tc>
        <w:tc>
          <w:tcPr>
            <w:tcW w:type="dxa" w:w="5040"/>
            <w:vAlign w:val="center"/>
          </w:tcPr>
          <w:p>
            <w:r/>
            <w:r>
              <w:rPr>
                <w:b w:val="0"/>
                <w:color w:val="222222"/>
                <w:sz w:val="17"/>
              </w:rPr>
              <w:t>1 December 2010 – 9 December 2011</w:t>
            </w:r>
          </w:p>
        </w:tc>
      </w:tr>
      <w:tr>
        <w:tc>
          <w:tcPr>
            <w:tcW w:type="dxa" w:w="5040"/>
            <w:vAlign w:val="center"/>
          </w:tcPr>
          <w:p>
            <w:r/>
            <w:r>
              <w:rPr>
                <w:b w:val="0"/>
                <w:color w:val="222222"/>
                <w:sz w:val="17"/>
              </w:rPr>
              <w:t>Dataset size</w:t>
            </w:r>
          </w:p>
        </w:tc>
        <w:tc>
          <w:tcPr>
            <w:tcW w:type="dxa" w:w="5040"/>
            <w:vAlign w:val="center"/>
          </w:tcPr>
          <w:p>
            <w:r/>
            <w:r>
              <w:rPr>
                <w:b w:val="0"/>
                <w:color w:val="222222"/>
                <w:sz w:val="17"/>
              </w:rPr>
              <w:t>541,909 transaction records</w:t>
            </w:r>
          </w:p>
        </w:tc>
      </w:tr>
      <w:tr>
        <w:tc>
          <w:tcPr>
            <w:tcW w:type="dxa" w:w="5040"/>
            <w:vAlign w:val="center"/>
          </w:tcPr>
          <w:p>
            <w:r/>
            <w:r>
              <w:rPr>
                <w:b w:val="0"/>
                <w:color w:val="222222"/>
                <w:sz w:val="17"/>
              </w:rPr>
              <w:t>Primary tools</w:t>
            </w:r>
          </w:p>
        </w:tc>
        <w:tc>
          <w:tcPr>
            <w:tcW w:type="dxa" w:w="5040"/>
            <w:vAlign w:val="center"/>
          </w:tcPr>
          <w:p>
            <w:r/>
            <w:r>
              <w:rPr>
                <w:b w:val="0"/>
                <w:color w:val="222222"/>
                <w:sz w:val="17"/>
              </w:rPr>
              <w:t>Python, pandas, NumPy, scikit-learn, matplotlib</w:t>
            </w:r>
          </w:p>
        </w:tc>
      </w:tr>
      <w:tr>
        <w:tc>
          <w:tcPr>
            <w:tcW w:type="dxa" w:w="5040"/>
            <w:vAlign w:val="center"/>
          </w:tcPr>
          <w:p>
            <w:r/>
            <w:r>
              <w:rPr>
                <w:b w:val="0"/>
                <w:color w:val="222222"/>
                <w:sz w:val="17"/>
              </w:rPr>
              <w:t>Main focus</w:t>
            </w:r>
          </w:p>
        </w:tc>
        <w:tc>
          <w:tcPr>
            <w:tcW w:type="dxa" w:w="5040"/>
            <w:vAlign w:val="center"/>
          </w:tcPr>
          <w:p>
            <w:r/>
            <w:r>
              <w:rPr>
                <w:b w:val="0"/>
                <w:color w:val="222222"/>
                <w:sz w:val="17"/>
              </w:rPr>
              <w:t>Data collection, validation, cleaning, missing values, outliers, normalization</w:t>
            </w:r>
          </w:p>
        </w:tc>
      </w:tr>
      <w:tr>
        <w:tc>
          <w:tcPr>
            <w:tcW w:type="dxa" w:w="5040"/>
            <w:vAlign w:val="center"/>
          </w:tcPr>
          <w:p>
            <w:r/>
            <w:r>
              <w:rPr>
                <w:b w:val="0"/>
                <w:color w:val="222222"/>
                <w:sz w:val="17"/>
              </w:rPr>
              <w:t>Week 2 output</w:t>
            </w:r>
          </w:p>
        </w:tc>
        <w:tc>
          <w:tcPr>
            <w:tcW w:type="dxa" w:w="5040"/>
            <w:vAlign w:val="center"/>
          </w:tcPr>
          <w:p>
            <w:r/>
            <w:r>
              <w:rPr>
                <w:b w:val="0"/>
                <w:color w:val="222222"/>
                <w:sz w:val="17"/>
              </w:rPr>
              <w:t>Clean, documented and analysis-ready dataset</w:t>
            </w:r>
          </w:p>
        </w:tc>
      </w:tr>
    </w:tbl>
    <w:p/>
    <w:tbl>
      <w:tblPr>
        <w:tblStyle w:val="TableGrid"/>
        <w:tblW w:type="auto" w:w="0"/>
        <w:tblLook w:firstColumn="1" w:firstRow="1" w:lastColumn="0" w:lastRow="0" w:noHBand="0" w:noVBand="1" w:val="04A0"/>
      </w:tblPr>
      <w:tblGrid>
        <w:gridCol w:w="10080"/>
      </w:tblGrid>
      <w:tr>
        <w:tc>
          <w:tcPr>
            <w:tcW w:type="dxa" w:w="10080"/>
            <w:shd w:fill="EEF4F9"/>
          </w:tcPr>
          <w:p>
            <w:r>
              <w:rPr>
                <w:b/>
                <w:color w:val="17365D"/>
              </w:rPr>
              <w:t xml:space="preserve">Dataset source: </w:t>
            </w:r>
            <w:r>
              <w:t>UCI Machine Learning Repository — Online Retail, DOI: 10.24432/C5BW33. The dataset contains transactions from a UK-based non-store online retailer and is licensed under CC BY 4.0. Source: https://archive.ics.uci.edu/dataset/352/online%2Bretail</w:t>
            </w:r>
          </w:p>
        </w:tc>
      </w:tr>
    </w:tbl>
    <w:p/>
    <w:p>
      <w:r>
        <w:br w:type="page"/>
      </w:r>
    </w:p>
    <w:p>
      <w:pPr>
        <w:pStyle w:val="Heading1"/>
      </w:pPr>
      <w:r>
        <w:t>1. Executive Summary</w:t>
      </w:r>
    </w:p>
    <w:p>
      <w:r>
        <w:t>Week 2 moves the logistics analytics project from strategic planning into data preparation. The purpose is to build a reliable preprocessing pipeline before forecasting, clustering, delivery-risk modeling, or optimization is attempted. The selected UCI Online Retail dataset is a practical proxy for logistics demand because each transaction contains product, quantity, timestamp, price, customer and country information. The UCI repository reports 541,909 records covering 1 December 2010 to 9 December 2011.</w:t>
      </w:r>
    </w:p>
    <w:p>
      <w:r>
        <w:t>The preprocessing design treats data quality as an analytical risk rather than simply a technical inconvenience. The workflow first profiles the raw data, validates types and identifiers, detects duplicates, interprets cancellations, handles missing values according to business meaning, identifies implausible numeric observations, and scales selected features when required by downstream algorithms. Every transformation is documented so that the cleaned dataset remains traceable to the source.</w:t>
      </w:r>
    </w:p>
    <w:p>
      <w:r>
        <w:t>The final outcome is an analysis-ready dataset and a reproducible Python pipeline. The approach deliberately avoids blindly deleting rows: missing customer IDs, cancellation invoices, negative quantities and extreme prices can each represent different business situations. Decisions are therefore based on the intended analytical use case. This makes the resulting dataset more appropriate for demand analysis, inventory planning and later machine-learning tasks.</w:t>
      </w:r>
    </w:p>
    <w:p>
      <w:pPr>
        <w:pStyle w:val="Heading1"/>
      </w:pPr>
      <w:r>
        <w:t>2. Objectives</w:t>
      </w:r>
    </w:p>
    <w:p>
      <w:pPr>
        <w:pStyle w:val="ListBullet"/>
        <w:spacing w:after="60"/>
      </w:pPr>
      <w:r>
        <w:t>Select and document a publicly available logistics-relevant dataset.</w:t>
      </w:r>
    </w:p>
    <w:p>
      <w:pPr>
        <w:pStyle w:val="ListBullet"/>
        <w:spacing w:after="60"/>
      </w:pPr>
      <w:r>
        <w:t>Simulate a professional data collection process with source, schema and provenance documentation.</w:t>
      </w:r>
    </w:p>
    <w:p>
      <w:pPr>
        <w:pStyle w:val="ListBullet"/>
        <w:spacing w:after="60"/>
      </w:pPr>
      <w:r>
        <w:t>Profile the raw data and identify missing values, duplicates, invalid types and inconsistent records.</w:t>
      </w:r>
    </w:p>
    <w:p>
      <w:pPr>
        <w:pStyle w:val="ListBullet"/>
        <w:spacing w:after="60"/>
      </w:pPr>
      <w:r>
        <w:t>Define business rules for cancellations, returns, non-positive quantities, zero/negative prices and missing customer information.</w:t>
      </w:r>
    </w:p>
    <w:p>
      <w:pPr>
        <w:pStyle w:val="ListBullet"/>
        <w:spacing w:after="60"/>
      </w:pPr>
      <w:r>
        <w:t>Apply appropriate missing-value handling without introducing unnecessary bias.</w:t>
      </w:r>
    </w:p>
    <w:p>
      <w:pPr>
        <w:pStyle w:val="ListBullet"/>
        <w:spacing w:after="60"/>
      </w:pPr>
      <w:r>
        <w:t>Detect and treat outliers using statistical and business-rule approaches.</w:t>
      </w:r>
    </w:p>
    <w:p>
      <w:pPr>
        <w:pStyle w:val="ListBullet"/>
        <w:spacing w:after="60"/>
      </w:pPr>
      <w:r>
        <w:t>Normalize or standardize features when required by downstream analytical algorithms.</w:t>
      </w:r>
    </w:p>
    <w:p>
      <w:pPr>
        <w:pStyle w:val="ListBullet"/>
        <w:spacing w:after="60"/>
      </w:pPr>
      <w:r>
        <w:t>Produce a clean analytical table while preserving a clear audit trail of transformations.</w:t>
      </w:r>
    </w:p>
    <w:p>
      <w:pPr>
        <w:pStyle w:val="ListBullet"/>
        <w:spacing w:after="60"/>
      </w:pPr>
      <w:r>
        <w:t>Provide Python code that can be reproduced on the downloaded dataset.</w:t>
      </w:r>
    </w:p>
    <w:p>
      <w:pPr>
        <w:pStyle w:val="ListBullet"/>
        <w:spacing w:after="60"/>
      </w:pPr>
      <w:r>
        <w:t>Explain how preprocessing quality affects logistics decisions.</w:t>
      </w:r>
    </w:p>
    <w:p>
      <w:pPr>
        <w:pStyle w:val="Heading1"/>
      </w:pPr>
      <w:r>
        <w:t>3. Dataset Collection and Background Research</w:t>
      </w:r>
    </w:p>
    <w:p>
      <w:pPr>
        <w:pStyle w:val="Heading2"/>
      </w:pPr>
      <w:r>
        <w:t>3.1 Dataset selection</w:t>
      </w:r>
    </w:p>
    <w:p>
      <w:r>
        <w:t>The UCI Online Retail dataset was selected because it is public, structured, time-stamped and directly related to retail demand. UCI describes it as a transactional dataset from a UK-based registered non-store online retailer. It contains 541,909 instances and fields including InvoiceNo, StockCode, Description, Quantity, InvoiceDate, UnitPrice, CustomerID and Country.</w:t>
      </w:r>
    </w:p>
    <w:p>
      <w:r>
        <w:t>The dataset is suitable for demonstrating logistics preprocessing because transaction records can be aggregated into daily product demand, customer demand, country-level demand and revenue measures. These derived tables can later support inventory forecasting, segmentation and supply-chain planning.</w:t>
      </w:r>
    </w:p>
    <w:p>
      <w:pPr>
        <w:pStyle w:val="Heading2"/>
      </w:pPr>
      <w:r>
        <w:t>3.2 Data dictionary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r/>
            <w:r>
              <w:rPr>
                <w:b/>
                <w:color w:val="FFFFFF"/>
                <w:sz w:val="18"/>
              </w:rPr>
              <w:t>Field</w:t>
            </w:r>
          </w:p>
        </w:tc>
        <w:tc>
          <w:tcPr>
            <w:tcW w:type="dxa" w:w="2520"/>
            <w:vAlign w:val="center"/>
            <w:shd w:fill="17365D"/>
          </w:tcPr>
          <w:p>
            <w:r/>
            <w:r>
              <w:rPr>
                <w:b/>
                <w:color w:val="FFFFFF"/>
                <w:sz w:val="18"/>
              </w:rPr>
              <w:t>Type</w:t>
            </w:r>
          </w:p>
        </w:tc>
        <w:tc>
          <w:tcPr>
            <w:tcW w:type="dxa" w:w="2520"/>
            <w:vAlign w:val="center"/>
            <w:shd w:fill="17365D"/>
          </w:tcPr>
          <w:p>
            <w:r/>
            <w:r>
              <w:rPr>
                <w:b/>
                <w:color w:val="FFFFFF"/>
                <w:sz w:val="18"/>
              </w:rPr>
              <w:t>Meaning</w:t>
            </w:r>
          </w:p>
        </w:tc>
        <w:tc>
          <w:tcPr>
            <w:tcW w:type="dxa" w:w="2520"/>
            <w:vAlign w:val="center"/>
            <w:shd w:fill="17365D"/>
          </w:tcPr>
          <w:p>
            <w:r/>
            <w:r>
              <w:rPr>
                <w:b/>
                <w:color w:val="FFFFFF"/>
                <w:sz w:val="18"/>
              </w:rPr>
              <w:t>Preprocessing relevance</w:t>
            </w:r>
          </w:p>
        </w:tc>
      </w:tr>
      <w:tr>
        <w:tc>
          <w:tcPr>
            <w:tcW w:type="dxa" w:w="2520"/>
            <w:vAlign w:val="center"/>
          </w:tcPr>
          <w:p>
            <w:r/>
            <w:r>
              <w:rPr>
                <w:b w:val="0"/>
                <w:color w:val="222222"/>
                <w:sz w:val="17"/>
              </w:rPr>
              <w:t>InvoiceNo</w:t>
            </w:r>
          </w:p>
        </w:tc>
        <w:tc>
          <w:tcPr>
            <w:tcW w:type="dxa" w:w="2520"/>
            <w:vAlign w:val="center"/>
          </w:tcPr>
          <w:p>
            <w:r/>
            <w:r>
              <w:rPr>
                <w:b w:val="0"/>
                <w:color w:val="222222"/>
                <w:sz w:val="17"/>
              </w:rPr>
              <w:t>Categorical</w:t>
            </w:r>
          </w:p>
        </w:tc>
        <w:tc>
          <w:tcPr>
            <w:tcW w:type="dxa" w:w="2520"/>
            <w:vAlign w:val="center"/>
          </w:tcPr>
          <w:p>
            <w:r/>
            <w:r>
              <w:rPr>
                <w:b w:val="0"/>
                <w:color w:val="222222"/>
                <w:sz w:val="17"/>
              </w:rPr>
              <w:t>Unique transaction/invoice identifier; cancellation invoices begin with C</w:t>
            </w:r>
          </w:p>
        </w:tc>
        <w:tc>
          <w:tcPr>
            <w:tcW w:type="dxa" w:w="2520"/>
            <w:vAlign w:val="center"/>
          </w:tcPr>
          <w:p>
            <w:r/>
            <w:r>
              <w:rPr>
                <w:b w:val="0"/>
                <w:color w:val="222222"/>
                <w:sz w:val="17"/>
              </w:rPr>
              <w:t>Validate identifier; classify cancellations</w:t>
            </w:r>
          </w:p>
        </w:tc>
      </w:tr>
      <w:tr>
        <w:tc>
          <w:tcPr>
            <w:tcW w:type="dxa" w:w="2520"/>
            <w:vAlign w:val="center"/>
          </w:tcPr>
          <w:p>
            <w:r/>
            <w:r>
              <w:rPr>
                <w:b w:val="0"/>
                <w:color w:val="222222"/>
                <w:sz w:val="17"/>
              </w:rPr>
              <w:t>StockCode</w:t>
            </w:r>
          </w:p>
        </w:tc>
        <w:tc>
          <w:tcPr>
            <w:tcW w:type="dxa" w:w="2520"/>
            <w:vAlign w:val="center"/>
          </w:tcPr>
          <w:p>
            <w:r/>
            <w:r>
              <w:rPr>
                <w:b w:val="0"/>
                <w:color w:val="222222"/>
                <w:sz w:val="17"/>
              </w:rPr>
              <w:t>Categorical</w:t>
            </w:r>
          </w:p>
        </w:tc>
        <w:tc>
          <w:tcPr>
            <w:tcW w:type="dxa" w:w="2520"/>
            <w:vAlign w:val="center"/>
          </w:tcPr>
          <w:p>
            <w:r/>
            <w:r>
              <w:rPr>
                <w:b w:val="0"/>
                <w:color w:val="222222"/>
                <w:sz w:val="17"/>
              </w:rPr>
              <w:t>Product identifier</w:t>
            </w:r>
          </w:p>
        </w:tc>
        <w:tc>
          <w:tcPr>
            <w:tcW w:type="dxa" w:w="2520"/>
            <w:vAlign w:val="center"/>
          </w:tcPr>
          <w:p>
            <w:r/>
            <w:r>
              <w:rPr>
                <w:b w:val="0"/>
                <w:color w:val="222222"/>
                <w:sz w:val="17"/>
              </w:rPr>
              <w:t>Required for product-level demand aggregation</w:t>
            </w:r>
          </w:p>
        </w:tc>
      </w:tr>
      <w:tr>
        <w:tc>
          <w:tcPr>
            <w:tcW w:type="dxa" w:w="2520"/>
            <w:vAlign w:val="center"/>
          </w:tcPr>
          <w:p>
            <w:r/>
            <w:r>
              <w:rPr>
                <w:b w:val="0"/>
                <w:color w:val="222222"/>
                <w:sz w:val="17"/>
              </w:rPr>
              <w:t>Description</w:t>
            </w:r>
          </w:p>
        </w:tc>
        <w:tc>
          <w:tcPr>
            <w:tcW w:type="dxa" w:w="2520"/>
            <w:vAlign w:val="center"/>
          </w:tcPr>
          <w:p>
            <w:r/>
            <w:r>
              <w:rPr>
                <w:b w:val="0"/>
                <w:color w:val="222222"/>
                <w:sz w:val="17"/>
              </w:rPr>
              <w:t>Text</w:t>
            </w:r>
          </w:p>
        </w:tc>
        <w:tc>
          <w:tcPr>
            <w:tcW w:type="dxa" w:w="2520"/>
            <w:vAlign w:val="center"/>
          </w:tcPr>
          <w:p>
            <w:r/>
            <w:r>
              <w:rPr>
                <w:b w:val="0"/>
                <w:color w:val="222222"/>
                <w:sz w:val="17"/>
              </w:rPr>
              <w:t>Product name</w:t>
            </w:r>
          </w:p>
        </w:tc>
        <w:tc>
          <w:tcPr>
            <w:tcW w:type="dxa" w:w="2520"/>
            <w:vAlign w:val="center"/>
          </w:tcPr>
          <w:p>
            <w:r/>
            <w:r>
              <w:rPr>
                <w:b w:val="0"/>
                <w:color w:val="222222"/>
                <w:sz w:val="17"/>
              </w:rPr>
              <w:t>Clean text; missing values may be imputed from StockCode only if justified</w:t>
            </w:r>
          </w:p>
        </w:tc>
      </w:tr>
      <w:tr>
        <w:tc>
          <w:tcPr>
            <w:tcW w:type="dxa" w:w="2520"/>
            <w:vAlign w:val="center"/>
          </w:tcPr>
          <w:p>
            <w:r/>
            <w:r>
              <w:rPr>
                <w:b w:val="0"/>
                <w:color w:val="222222"/>
                <w:sz w:val="17"/>
              </w:rPr>
              <w:t>Quantity</w:t>
            </w:r>
          </w:p>
        </w:tc>
        <w:tc>
          <w:tcPr>
            <w:tcW w:type="dxa" w:w="2520"/>
            <w:vAlign w:val="center"/>
          </w:tcPr>
          <w:p>
            <w:r/>
            <w:r>
              <w:rPr>
                <w:b w:val="0"/>
                <w:color w:val="222222"/>
                <w:sz w:val="17"/>
              </w:rPr>
              <w:t>Integer</w:t>
            </w:r>
          </w:p>
        </w:tc>
        <w:tc>
          <w:tcPr>
            <w:tcW w:type="dxa" w:w="2520"/>
            <w:vAlign w:val="center"/>
          </w:tcPr>
          <w:p>
            <w:r/>
            <w:r>
              <w:rPr>
                <w:b w:val="0"/>
                <w:color w:val="222222"/>
                <w:sz w:val="17"/>
              </w:rPr>
              <w:t>Units purchased in transaction</w:t>
            </w:r>
          </w:p>
        </w:tc>
        <w:tc>
          <w:tcPr>
            <w:tcW w:type="dxa" w:w="2520"/>
            <w:vAlign w:val="center"/>
          </w:tcPr>
          <w:p>
            <w:r/>
            <w:r>
              <w:rPr>
                <w:b w:val="0"/>
                <w:color w:val="222222"/>
                <w:sz w:val="17"/>
              </w:rPr>
              <w:t>Check non-positive values and extreme quantities</w:t>
            </w:r>
          </w:p>
        </w:tc>
      </w:tr>
      <w:tr>
        <w:tc>
          <w:tcPr>
            <w:tcW w:type="dxa" w:w="2520"/>
            <w:vAlign w:val="center"/>
          </w:tcPr>
          <w:p>
            <w:r/>
            <w:r>
              <w:rPr>
                <w:b w:val="0"/>
                <w:color w:val="222222"/>
                <w:sz w:val="17"/>
              </w:rPr>
              <w:t>InvoiceDate</w:t>
            </w:r>
          </w:p>
        </w:tc>
        <w:tc>
          <w:tcPr>
            <w:tcW w:type="dxa" w:w="2520"/>
            <w:vAlign w:val="center"/>
          </w:tcPr>
          <w:p>
            <w:r/>
            <w:r>
              <w:rPr>
                <w:b w:val="0"/>
                <w:color w:val="222222"/>
                <w:sz w:val="17"/>
              </w:rPr>
              <w:t>Datetime</w:t>
            </w:r>
          </w:p>
        </w:tc>
        <w:tc>
          <w:tcPr>
            <w:tcW w:type="dxa" w:w="2520"/>
            <w:vAlign w:val="center"/>
          </w:tcPr>
          <w:p>
            <w:r/>
            <w:r>
              <w:rPr>
                <w:b w:val="0"/>
                <w:color w:val="222222"/>
                <w:sz w:val="17"/>
              </w:rPr>
              <w:t>Transaction date and time</w:t>
            </w:r>
          </w:p>
        </w:tc>
        <w:tc>
          <w:tcPr>
            <w:tcW w:type="dxa" w:w="2520"/>
            <w:vAlign w:val="center"/>
          </w:tcPr>
          <w:p>
            <w:r/>
            <w:r>
              <w:rPr>
                <w:b w:val="0"/>
                <w:color w:val="222222"/>
                <w:sz w:val="17"/>
              </w:rPr>
              <w:t>Parse datetime; derive day/week/month features</w:t>
            </w:r>
          </w:p>
        </w:tc>
      </w:tr>
      <w:tr>
        <w:tc>
          <w:tcPr>
            <w:tcW w:type="dxa" w:w="2520"/>
            <w:vAlign w:val="center"/>
          </w:tcPr>
          <w:p>
            <w:r/>
            <w:r>
              <w:rPr>
                <w:b w:val="0"/>
                <w:color w:val="222222"/>
                <w:sz w:val="17"/>
              </w:rPr>
              <w:t>UnitPrice</w:t>
            </w:r>
          </w:p>
        </w:tc>
        <w:tc>
          <w:tcPr>
            <w:tcW w:type="dxa" w:w="2520"/>
            <w:vAlign w:val="center"/>
          </w:tcPr>
          <w:p>
            <w:r/>
            <w:r>
              <w:rPr>
                <w:b w:val="0"/>
                <w:color w:val="222222"/>
                <w:sz w:val="17"/>
              </w:rPr>
              <w:t>Numeric</w:t>
            </w:r>
          </w:p>
        </w:tc>
        <w:tc>
          <w:tcPr>
            <w:tcW w:type="dxa" w:w="2520"/>
            <w:vAlign w:val="center"/>
          </w:tcPr>
          <w:p>
            <w:r/>
            <w:r>
              <w:rPr>
                <w:b w:val="0"/>
                <w:color w:val="222222"/>
                <w:sz w:val="17"/>
              </w:rPr>
              <w:t>Price per unit in GBP</w:t>
            </w:r>
          </w:p>
        </w:tc>
        <w:tc>
          <w:tcPr>
            <w:tcW w:type="dxa" w:w="2520"/>
            <w:vAlign w:val="center"/>
          </w:tcPr>
          <w:p>
            <w:r/>
            <w:r>
              <w:rPr>
                <w:b w:val="0"/>
                <w:color w:val="222222"/>
                <w:sz w:val="17"/>
              </w:rPr>
              <w:t>Check zero/negative values and extreme prices</w:t>
            </w:r>
          </w:p>
        </w:tc>
      </w:tr>
      <w:tr>
        <w:tc>
          <w:tcPr>
            <w:tcW w:type="dxa" w:w="2520"/>
            <w:vAlign w:val="center"/>
          </w:tcPr>
          <w:p>
            <w:r/>
            <w:r>
              <w:rPr>
                <w:b w:val="0"/>
                <w:color w:val="222222"/>
                <w:sz w:val="17"/>
              </w:rPr>
              <w:t>CustomerID</w:t>
            </w:r>
          </w:p>
        </w:tc>
        <w:tc>
          <w:tcPr>
            <w:tcW w:type="dxa" w:w="2520"/>
            <w:vAlign w:val="center"/>
          </w:tcPr>
          <w:p>
            <w:r/>
            <w:r>
              <w:rPr>
                <w:b w:val="0"/>
                <w:color w:val="222222"/>
                <w:sz w:val="17"/>
              </w:rPr>
              <w:t>Categorical</w:t>
            </w:r>
          </w:p>
        </w:tc>
        <w:tc>
          <w:tcPr>
            <w:tcW w:type="dxa" w:w="2520"/>
            <w:vAlign w:val="center"/>
          </w:tcPr>
          <w:p>
            <w:r/>
            <w:r>
              <w:rPr>
                <w:b w:val="0"/>
                <w:color w:val="222222"/>
                <w:sz w:val="17"/>
              </w:rPr>
              <w:t>Customer identifier</w:t>
            </w:r>
          </w:p>
        </w:tc>
        <w:tc>
          <w:tcPr>
            <w:tcW w:type="dxa" w:w="2520"/>
            <w:vAlign w:val="center"/>
          </w:tcPr>
          <w:p>
            <w:r/>
            <w:r>
              <w:rPr>
                <w:b w:val="0"/>
                <w:color w:val="222222"/>
                <w:sz w:val="17"/>
              </w:rPr>
              <w:t>Missingness affects customer-level analysis</w:t>
            </w:r>
          </w:p>
        </w:tc>
      </w:tr>
      <w:tr>
        <w:tc>
          <w:tcPr>
            <w:tcW w:type="dxa" w:w="2520"/>
            <w:vAlign w:val="center"/>
          </w:tcPr>
          <w:p>
            <w:r/>
            <w:r>
              <w:rPr>
                <w:b w:val="0"/>
                <w:color w:val="222222"/>
                <w:sz w:val="17"/>
              </w:rPr>
              <w:t>Country</w:t>
            </w:r>
          </w:p>
        </w:tc>
        <w:tc>
          <w:tcPr>
            <w:tcW w:type="dxa" w:w="2520"/>
            <w:vAlign w:val="center"/>
          </w:tcPr>
          <w:p>
            <w:r/>
            <w:r>
              <w:rPr>
                <w:b w:val="0"/>
                <w:color w:val="222222"/>
                <w:sz w:val="17"/>
              </w:rPr>
              <w:t>Categorical</w:t>
            </w:r>
          </w:p>
        </w:tc>
        <w:tc>
          <w:tcPr>
            <w:tcW w:type="dxa" w:w="2520"/>
            <w:vAlign w:val="center"/>
          </w:tcPr>
          <w:p>
            <w:r/>
            <w:r>
              <w:rPr>
                <w:b w:val="0"/>
                <w:color w:val="222222"/>
                <w:sz w:val="17"/>
              </w:rPr>
              <w:t>Customer country</w:t>
            </w:r>
          </w:p>
        </w:tc>
        <w:tc>
          <w:tcPr>
            <w:tcW w:type="dxa" w:w="2520"/>
            <w:vAlign w:val="center"/>
          </w:tcPr>
          <w:p>
            <w:r/>
            <w:r>
              <w:rPr>
                <w:b w:val="0"/>
                <w:color w:val="222222"/>
                <w:sz w:val="17"/>
              </w:rPr>
              <w:t>Standardize text categories and inspect rare values</w:t>
            </w:r>
          </w:p>
        </w:tc>
      </w:tr>
    </w:tbl>
    <w:p/>
    <w:p>
      <w:pPr>
        <w:pStyle w:val="Heading1"/>
      </w:pPr>
      <w:r>
        <w:t>4. Data Collection Simulation</w:t>
      </w:r>
    </w:p>
    <w:p>
      <w:r>
        <w:t>In a real logistics organization, the same pipeline could collect transaction records from an ERP, warehouse management system, transport management system or order-management platform. For this task, the public UCI file represents the raw source. The simulated collection process is designed to mirror an enterprise workflow.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b/>
                <w:color w:val="FFFFFF"/>
                <w:sz w:val="18"/>
              </w:rPr>
              <w:t>Stage</w:t>
            </w:r>
          </w:p>
        </w:tc>
        <w:tc>
          <w:tcPr>
            <w:tcW w:type="dxa" w:w="3360"/>
            <w:vAlign w:val="center"/>
            <w:shd w:fill="17365D"/>
          </w:tcPr>
          <w:p>
            <w:r/>
            <w:r>
              <w:rPr>
                <w:b/>
                <w:color w:val="FFFFFF"/>
                <w:sz w:val="18"/>
              </w:rPr>
              <w:t>Action</w:t>
            </w:r>
          </w:p>
        </w:tc>
        <w:tc>
          <w:tcPr>
            <w:tcW w:type="dxa" w:w="3360"/>
            <w:vAlign w:val="center"/>
            <w:shd w:fill="17365D"/>
          </w:tcPr>
          <w:p>
            <w:r/>
            <w:r>
              <w:rPr>
                <w:b/>
                <w:color w:val="FFFFFF"/>
                <w:sz w:val="18"/>
              </w:rPr>
              <w:t>Quality control</w:t>
            </w:r>
          </w:p>
        </w:tc>
      </w:tr>
      <w:tr>
        <w:tc>
          <w:tcPr>
            <w:tcW w:type="dxa" w:w="3360"/>
            <w:vAlign w:val="center"/>
          </w:tcPr>
          <w:p>
            <w:r/>
            <w:r>
              <w:rPr>
                <w:b w:val="0"/>
                <w:color w:val="222222"/>
                <w:sz w:val="17"/>
              </w:rPr>
              <w:t>1. Source registration</w:t>
            </w:r>
          </w:p>
        </w:tc>
        <w:tc>
          <w:tcPr>
            <w:tcW w:type="dxa" w:w="3360"/>
            <w:vAlign w:val="center"/>
          </w:tcPr>
          <w:p>
            <w:r/>
            <w:r>
              <w:rPr>
                <w:b w:val="0"/>
                <w:color w:val="222222"/>
                <w:sz w:val="17"/>
              </w:rPr>
              <w:t>Record dataset name, owner/source, URL, license and retrieval date</w:t>
            </w:r>
          </w:p>
        </w:tc>
        <w:tc>
          <w:tcPr>
            <w:tcW w:type="dxa" w:w="3360"/>
            <w:vAlign w:val="center"/>
          </w:tcPr>
          <w:p>
            <w:r/>
            <w:r>
              <w:rPr>
                <w:b w:val="0"/>
                <w:color w:val="222222"/>
                <w:sz w:val="17"/>
              </w:rPr>
              <w:t>Confirm source is trusted and permitted</w:t>
            </w:r>
          </w:p>
        </w:tc>
      </w:tr>
      <w:tr>
        <w:tc>
          <w:tcPr>
            <w:tcW w:type="dxa" w:w="3360"/>
            <w:vAlign w:val="center"/>
          </w:tcPr>
          <w:p>
            <w:r/>
            <w:r>
              <w:rPr>
                <w:b w:val="0"/>
                <w:color w:val="222222"/>
                <w:sz w:val="17"/>
              </w:rPr>
              <w:t>2. File acquisition</w:t>
            </w:r>
          </w:p>
        </w:tc>
        <w:tc>
          <w:tcPr>
            <w:tcW w:type="dxa" w:w="3360"/>
            <w:vAlign w:val="center"/>
          </w:tcPr>
          <w:p>
            <w:r/>
            <w:r>
              <w:rPr>
                <w:b w:val="0"/>
                <w:color w:val="222222"/>
                <w:sz w:val="17"/>
              </w:rPr>
              <w:t>Download the XLSX file into a raw-data folder</w:t>
            </w:r>
          </w:p>
        </w:tc>
        <w:tc>
          <w:tcPr>
            <w:tcW w:type="dxa" w:w="3360"/>
            <w:vAlign w:val="center"/>
          </w:tcPr>
          <w:p>
            <w:r/>
            <w:r>
              <w:rPr>
                <w:b w:val="0"/>
                <w:color w:val="222222"/>
                <w:sz w:val="17"/>
              </w:rPr>
              <w:t>Check file opens and expected sheet exists</w:t>
            </w:r>
          </w:p>
        </w:tc>
      </w:tr>
      <w:tr>
        <w:tc>
          <w:tcPr>
            <w:tcW w:type="dxa" w:w="3360"/>
            <w:vAlign w:val="center"/>
          </w:tcPr>
          <w:p>
            <w:r/>
            <w:r>
              <w:rPr>
                <w:b w:val="0"/>
                <w:color w:val="222222"/>
                <w:sz w:val="17"/>
              </w:rPr>
              <w:t>3. Schema validation</w:t>
            </w:r>
          </w:p>
        </w:tc>
        <w:tc>
          <w:tcPr>
            <w:tcW w:type="dxa" w:w="3360"/>
            <w:vAlign w:val="center"/>
          </w:tcPr>
          <w:p>
            <w:r/>
            <w:r>
              <w:rPr>
                <w:b w:val="0"/>
                <w:color w:val="222222"/>
                <w:sz w:val="17"/>
              </w:rPr>
              <w:t>Compare columns against documented schema</w:t>
            </w:r>
          </w:p>
        </w:tc>
        <w:tc>
          <w:tcPr>
            <w:tcW w:type="dxa" w:w="3360"/>
            <w:vAlign w:val="center"/>
          </w:tcPr>
          <w:p>
            <w:r/>
            <w:r>
              <w:rPr>
                <w:b w:val="0"/>
                <w:color w:val="222222"/>
                <w:sz w:val="17"/>
              </w:rPr>
              <w:t>Flag missing or unexpected columns</w:t>
            </w:r>
          </w:p>
        </w:tc>
      </w:tr>
      <w:tr>
        <w:tc>
          <w:tcPr>
            <w:tcW w:type="dxa" w:w="3360"/>
            <w:vAlign w:val="center"/>
          </w:tcPr>
          <w:p>
            <w:r/>
            <w:r>
              <w:rPr>
                <w:b w:val="0"/>
                <w:color w:val="222222"/>
                <w:sz w:val="17"/>
              </w:rPr>
              <w:t>4. Type validation</w:t>
            </w:r>
          </w:p>
        </w:tc>
        <w:tc>
          <w:tcPr>
            <w:tcW w:type="dxa" w:w="3360"/>
            <w:vAlign w:val="center"/>
          </w:tcPr>
          <w:p>
            <w:r/>
            <w:r>
              <w:rPr>
                <w:b w:val="0"/>
                <w:color w:val="222222"/>
                <w:sz w:val="17"/>
              </w:rPr>
              <w:t>Parse dates and numeric fields</w:t>
            </w:r>
          </w:p>
        </w:tc>
        <w:tc>
          <w:tcPr>
            <w:tcW w:type="dxa" w:w="3360"/>
            <w:vAlign w:val="center"/>
          </w:tcPr>
          <w:p>
            <w:r/>
            <w:r>
              <w:rPr>
                <w:b w:val="0"/>
                <w:color w:val="222222"/>
                <w:sz w:val="17"/>
              </w:rPr>
              <w:t>Report conversion failures</w:t>
            </w:r>
          </w:p>
        </w:tc>
      </w:tr>
      <w:tr>
        <w:tc>
          <w:tcPr>
            <w:tcW w:type="dxa" w:w="3360"/>
            <w:vAlign w:val="center"/>
          </w:tcPr>
          <w:p>
            <w:r/>
            <w:r>
              <w:rPr>
                <w:b w:val="0"/>
                <w:color w:val="222222"/>
                <w:sz w:val="17"/>
              </w:rPr>
              <w:t>5. Profiling</w:t>
            </w:r>
          </w:p>
        </w:tc>
        <w:tc>
          <w:tcPr>
            <w:tcW w:type="dxa" w:w="3360"/>
            <w:vAlign w:val="center"/>
          </w:tcPr>
          <w:p>
            <w:r/>
            <w:r>
              <w:rPr>
                <w:b w:val="0"/>
                <w:color w:val="222222"/>
                <w:sz w:val="17"/>
              </w:rPr>
              <w:t>Count rows, nulls, unique IDs, ranges and duplicates</w:t>
            </w:r>
          </w:p>
        </w:tc>
        <w:tc>
          <w:tcPr>
            <w:tcW w:type="dxa" w:w="3360"/>
            <w:vAlign w:val="center"/>
          </w:tcPr>
          <w:p>
            <w:r/>
            <w:r>
              <w:rPr>
                <w:b w:val="0"/>
                <w:color w:val="222222"/>
                <w:sz w:val="17"/>
              </w:rPr>
              <w:t>Generate data-quality summary</w:t>
            </w:r>
          </w:p>
        </w:tc>
      </w:tr>
      <w:tr>
        <w:tc>
          <w:tcPr>
            <w:tcW w:type="dxa" w:w="3360"/>
            <w:vAlign w:val="center"/>
          </w:tcPr>
          <w:p>
            <w:r/>
            <w:r>
              <w:rPr>
                <w:b w:val="0"/>
                <w:color w:val="222222"/>
                <w:sz w:val="17"/>
              </w:rPr>
              <w:t>6. Cleaning</w:t>
            </w:r>
          </w:p>
        </w:tc>
        <w:tc>
          <w:tcPr>
            <w:tcW w:type="dxa" w:w="3360"/>
            <w:vAlign w:val="center"/>
          </w:tcPr>
          <w:p>
            <w:r/>
            <w:r>
              <w:rPr>
                <w:b w:val="0"/>
                <w:color w:val="222222"/>
                <w:sz w:val="17"/>
              </w:rPr>
              <w:t>Apply documented business rules</w:t>
            </w:r>
          </w:p>
        </w:tc>
        <w:tc>
          <w:tcPr>
            <w:tcW w:type="dxa" w:w="3360"/>
            <w:vAlign w:val="center"/>
          </w:tcPr>
          <w:p>
            <w:r/>
            <w:r>
              <w:rPr>
                <w:b w:val="0"/>
                <w:color w:val="222222"/>
                <w:sz w:val="17"/>
              </w:rPr>
              <w:t>Keep transformation log</w:t>
            </w:r>
          </w:p>
        </w:tc>
      </w:tr>
      <w:tr>
        <w:tc>
          <w:tcPr>
            <w:tcW w:type="dxa" w:w="3360"/>
            <w:vAlign w:val="center"/>
          </w:tcPr>
          <w:p>
            <w:r/>
            <w:r>
              <w:rPr>
                <w:b w:val="0"/>
                <w:color w:val="222222"/>
                <w:sz w:val="17"/>
              </w:rPr>
              <w:t>7. Export</w:t>
            </w:r>
          </w:p>
        </w:tc>
        <w:tc>
          <w:tcPr>
            <w:tcW w:type="dxa" w:w="3360"/>
            <w:vAlign w:val="center"/>
          </w:tcPr>
          <w:p>
            <w:r/>
            <w:r>
              <w:rPr>
                <w:b w:val="0"/>
                <w:color w:val="222222"/>
                <w:sz w:val="17"/>
              </w:rPr>
              <w:t>Write clean dataset and metadata</w:t>
            </w:r>
          </w:p>
        </w:tc>
        <w:tc>
          <w:tcPr>
            <w:tcW w:type="dxa" w:w="3360"/>
            <w:vAlign w:val="center"/>
          </w:tcPr>
          <w:p>
            <w:r/>
            <w:r>
              <w:rPr>
                <w:b w:val="0"/>
                <w:color w:val="222222"/>
                <w:sz w:val="17"/>
              </w:rPr>
              <w:t>Verify row counts and output schema</w:t>
            </w:r>
          </w:p>
        </w:tc>
      </w:tr>
    </w:tbl>
    <w:p/>
    <w:p>
      <w:pPr>
        <w:pStyle w:val="Heading1"/>
      </w:pPr>
      <w:r>
        <w:t>5. Data Quality Issues and Resolution Strategy</w:t>
      </w:r>
    </w:p>
    <w:p>
      <w:r>
        <w:t>Data-quality issues are grouped into completeness, validity, consistency, uniqueness and plausibility. The key principle is that a correction should preserve business meaning wherever possible.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r/>
            <w:r>
              <w:rPr>
                <w:b/>
                <w:color w:val="FFFFFF"/>
                <w:sz w:val="18"/>
              </w:rPr>
              <w:t>Issue</w:t>
            </w:r>
          </w:p>
        </w:tc>
        <w:tc>
          <w:tcPr>
            <w:tcW w:type="dxa" w:w="2520"/>
            <w:vAlign w:val="center"/>
            <w:shd w:fill="17365D"/>
          </w:tcPr>
          <w:p>
            <w:r/>
            <w:r>
              <w:rPr>
                <w:b/>
                <w:color w:val="FFFFFF"/>
                <w:sz w:val="18"/>
              </w:rPr>
              <w:t>How to identify</w:t>
            </w:r>
          </w:p>
        </w:tc>
        <w:tc>
          <w:tcPr>
            <w:tcW w:type="dxa" w:w="2520"/>
            <w:vAlign w:val="center"/>
            <w:shd w:fill="17365D"/>
          </w:tcPr>
          <w:p>
            <w:r/>
            <w:r>
              <w:rPr>
                <w:b/>
                <w:color w:val="FFFFFF"/>
                <w:sz w:val="18"/>
              </w:rPr>
              <w:t>Proposed treatment</w:t>
            </w:r>
          </w:p>
        </w:tc>
        <w:tc>
          <w:tcPr>
            <w:tcW w:type="dxa" w:w="2520"/>
            <w:vAlign w:val="center"/>
            <w:shd w:fill="17365D"/>
          </w:tcPr>
          <w:p>
            <w:r/>
            <w:r>
              <w:rPr>
                <w:b/>
                <w:color w:val="FFFFFF"/>
                <w:sz w:val="18"/>
              </w:rPr>
              <w:t>Reason</w:t>
            </w:r>
          </w:p>
        </w:tc>
      </w:tr>
      <w:tr>
        <w:tc>
          <w:tcPr>
            <w:tcW w:type="dxa" w:w="2520"/>
            <w:vAlign w:val="center"/>
          </w:tcPr>
          <w:p>
            <w:r/>
            <w:r>
              <w:rPr>
                <w:b w:val="0"/>
                <w:color w:val="222222"/>
                <w:sz w:val="17"/>
              </w:rPr>
              <w:t>Missing values</w:t>
            </w:r>
          </w:p>
        </w:tc>
        <w:tc>
          <w:tcPr>
            <w:tcW w:type="dxa" w:w="2520"/>
            <w:vAlign w:val="center"/>
          </w:tcPr>
          <w:p>
            <w:r/>
            <w:r>
              <w:rPr>
                <w:b w:val="0"/>
                <w:color w:val="222222"/>
                <w:sz w:val="17"/>
              </w:rPr>
              <w:t>isna().sum() and missingness rate</w:t>
            </w:r>
          </w:p>
        </w:tc>
        <w:tc>
          <w:tcPr>
            <w:tcW w:type="dxa" w:w="2520"/>
            <w:vAlign w:val="center"/>
          </w:tcPr>
          <w:p>
            <w:r/>
            <w:r>
              <w:rPr>
                <w:b w:val="0"/>
                <w:color w:val="222222"/>
                <w:sz w:val="17"/>
              </w:rPr>
              <w:t>Drop only when the field is essential; otherwise preserve or impute conditionally</w:t>
            </w:r>
          </w:p>
        </w:tc>
        <w:tc>
          <w:tcPr>
            <w:tcW w:type="dxa" w:w="2520"/>
            <w:vAlign w:val="center"/>
          </w:tcPr>
          <w:p>
            <w:r/>
            <w:r>
              <w:rPr>
                <w:b w:val="0"/>
                <w:color w:val="222222"/>
                <w:sz w:val="17"/>
              </w:rPr>
              <w:t>Avoid unnecessary loss of transactions</w:t>
            </w:r>
          </w:p>
        </w:tc>
      </w:tr>
      <w:tr>
        <w:tc>
          <w:tcPr>
            <w:tcW w:type="dxa" w:w="2520"/>
            <w:vAlign w:val="center"/>
          </w:tcPr>
          <w:p>
            <w:r/>
            <w:r>
              <w:rPr>
                <w:b w:val="0"/>
                <w:color w:val="222222"/>
                <w:sz w:val="17"/>
              </w:rPr>
              <w:t>Duplicate rows</w:t>
            </w:r>
          </w:p>
        </w:tc>
        <w:tc>
          <w:tcPr>
            <w:tcW w:type="dxa" w:w="2520"/>
            <w:vAlign w:val="center"/>
          </w:tcPr>
          <w:p>
            <w:r/>
            <w:r>
              <w:rPr>
                <w:b w:val="0"/>
                <w:color w:val="222222"/>
                <w:sz w:val="17"/>
              </w:rPr>
              <w:t>duplicated().sum()</w:t>
            </w:r>
          </w:p>
        </w:tc>
        <w:tc>
          <w:tcPr>
            <w:tcW w:type="dxa" w:w="2520"/>
            <w:vAlign w:val="center"/>
          </w:tcPr>
          <w:p>
            <w:r/>
            <w:r>
              <w:rPr>
                <w:b w:val="0"/>
                <w:color w:val="222222"/>
                <w:sz w:val="17"/>
              </w:rPr>
              <w:t>Remove exact duplicates after confirming they are not legitimate repeated records</w:t>
            </w:r>
          </w:p>
        </w:tc>
        <w:tc>
          <w:tcPr>
            <w:tcW w:type="dxa" w:w="2520"/>
            <w:vAlign w:val="center"/>
          </w:tcPr>
          <w:p>
            <w:r/>
            <w:r>
              <w:rPr>
                <w:b w:val="0"/>
                <w:color w:val="222222"/>
                <w:sz w:val="17"/>
              </w:rPr>
              <w:t>Prevents double counting</w:t>
            </w:r>
          </w:p>
        </w:tc>
      </w:tr>
      <w:tr>
        <w:tc>
          <w:tcPr>
            <w:tcW w:type="dxa" w:w="2520"/>
            <w:vAlign w:val="center"/>
          </w:tcPr>
          <w:p>
            <w:r/>
            <w:r>
              <w:rPr>
                <w:b w:val="0"/>
                <w:color w:val="222222"/>
                <w:sz w:val="17"/>
              </w:rPr>
              <w:t>Cancellation invoices</w:t>
            </w:r>
          </w:p>
        </w:tc>
        <w:tc>
          <w:tcPr>
            <w:tcW w:type="dxa" w:w="2520"/>
            <w:vAlign w:val="center"/>
          </w:tcPr>
          <w:p>
            <w:r/>
            <w:r>
              <w:rPr>
                <w:b w:val="0"/>
                <w:color w:val="222222"/>
                <w:sz w:val="17"/>
              </w:rPr>
              <w:t>InvoiceNo begins with C</w:t>
            </w:r>
          </w:p>
        </w:tc>
        <w:tc>
          <w:tcPr>
            <w:tcW w:type="dxa" w:w="2520"/>
            <w:vAlign w:val="center"/>
          </w:tcPr>
          <w:p>
            <w:r/>
            <w:r>
              <w:rPr>
                <w:b w:val="0"/>
                <w:color w:val="222222"/>
                <w:sz w:val="17"/>
              </w:rPr>
              <w:t>Create cancellation flag; exclude from positive-demand table</w:t>
            </w:r>
          </w:p>
        </w:tc>
        <w:tc>
          <w:tcPr>
            <w:tcW w:type="dxa" w:w="2520"/>
            <w:vAlign w:val="center"/>
          </w:tcPr>
          <w:p>
            <w:r/>
            <w:r>
              <w:rPr>
                <w:b w:val="0"/>
                <w:color w:val="222222"/>
                <w:sz w:val="17"/>
              </w:rPr>
              <w:t>Returns/cancellations are operationally different from sales</w:t>
            </w:r>
          </w:p>
        </w:tc>
      </w:tr>
      <w:tr>
        <w:tc>
          <w:tcPr>
            <w:tcW w:type="dxa" w:w="2520"/>
            <w:vAlign w:val="center"/>
          </w:tcPr>
          <w:p>
            <w:r/>
            <w:r>
              <w:rPr>
                <w:b w:val="0"/>
                <w:color w:val="222222"/>
                <w:sz w:val="17"/>
              </w:rPr>
              <w:t>Negative quantity</w:t>
            </w:r>
          </w:p>
        </w:tc>
        <w:tc>
          <w:tcPr>
            <w:tcW w:type="dxa" w:w="2520"/>
            <w:vAlign w:val="center"/>
          </w:tcPr>
          <w:p>
            <w:r/>
            <w:r>
              <w:rPr>
                <w:b w:val="0"/>
                <w:color w:val="222222"/>
                <w:sz w:val="17"/>
              </w:rPr>
              <w:t>Quantity &lt;= 0</w:t>
            </w:r>
          </w:p>
        </w:tc>
        <w:tc>
          <w:tcPr>
            <w:tcW w:type="dxa" w:w="2520"/>
            <w:vAlign w:val="center"/>
          </w:tcPr>
          <w:p>
            <w:r/>
            <w:r>
              <w:rPr>
                <w:b w:val="0"/>
                <w:color w:val="222222"/>
                <w:sz w:val="17"/>
              </w:rPr>
              <w:t>Retain in raw table; exclude or separately aggregate as returns/corrections</w:t>
            </w:r>
          </w:p>
        </w:tc>
        <w:tc>
          <w:tcPr>
            <w:tcW w:type="dxa" w:w="2520"/>
            <w:vAlign w:val="center"/>
          </w:tcPr>
          <w:p>
            <w:r/>
            <w:r>
              <w:rPr>
                <w:b w:val="0"/>
                <w:color w:val="222222"/>
                <w:sz w:val="17"/>
              </w:rPr>
              <w:t>Negative units may represent returns</w:t>
            </w:r>
          </w:p>
        </w:tc>
      </w:tr>
      <w:tr>
        <w:tc>
          <w:tcPr>
            <w:tcW w:type="dxa" w:w="2520"/>
            <w:vAlign w:val="center"/>
          </w:tcPr>
          <w:p>
            <w:r/>
            <w:r>
              <w:rPr>
                <w:b w:val="0"/>
                <w:color w:val="222222"/>
                <w:sz w:val="17"/>
              </w:rPr>
              <w:t>Zero/negative price</w:t>
            </w:r>
          </w:p>
        </w:tc>
        <w:tc>
          <w:tcPr>
            <w:tcW w:type="dxa" w:w="2520"/>
            <w:vAlign w:val="center"/>
          </w:tcPr>
          <w:p>
            <w:r/>
            <w:r>
              <w:rPr>
                <w:b w:val="0"/>
                <w:color w:val="222222"/>
                <w:sz w:val="17"/>
              </w:rPr>
              <w:t>UnitPrice &lt;= 0</w:t>
            </w:r>
          </w:p>
        </w:tc>
        <w:tc>
          <w:tcPr>
            <w:tcW w:type="dxa" w:w="2520"/>
            <w:vAlign w:val="center"/>
          </w:tcPr>
          <w:p>
            <w:r/>
            <w:r>
              <w:rPr>
                <w:b w:val="0"/>
                <w:color w:val="222222"/>
                <w:sz w:val="17"/>
              </w:rPr>
              <w:t>Flag and inspect; exclude from revenue calculations when invalid</w:t>
            </w:r>
          </w:p>
        </w:tc>
        <w:tc>
          <w:tcPr>
            <w:tcW w:type="dxa" w:w="2520"/>
            <w:vAlign w:val="center"/>
          </w:tcPr>
          <w:p>
            <w:r/>
            <w:r>
              <w:rPr>
                <w:b w:val="0"/>
                <w:color w:val="222222"/>
                <w:sz w:val="17"/>
              </w:rPr>
              <w:t>Prevents distorted revenue</w:t>
            </w:r>
          </w:p>
        </w:tc>
      </w:tr>
      <w:tr>
        <w:tc>
          <w:tcPr>
            <w:tcW w:type="dxa" w:w="2520"/>
            <w:vAlign w:val="center"/>
          </w:tcPr>
          <w:p>
            <w:r/>
            <w:r>
              <w:rPr>
                <w:b w:val="0"/>
                <w:color w:val="222222"/>
                <w:sz w:val="17"/>
              </w:rPr>
              <w:t>Invalid dates</w:t>
            </w:r>
          </w:p>
        </w:tc>
        <w:tc>
          <w:tcPr>
            <w:tcW w:type="dxa" w:w="2520"/>
            <w:vAlign w:val="center"/>
          </w:tcPr>
          <w:p>
            <w:r/>
            <w:r>
              <w:rPr>
                <w:b w:val="0"/>
                <w:color w:val="222222"/>
                <w:sz w:val="17"/>
              </w:rPr>
              <w:t>to_datetime(errors='coerce')</w:t>
            </w:r>
          </w:p>
        </w:tc>
        <w:tc>
          <w:tcPr>
            <w:tcW w:type="dxa" w:w="2520"/>
            <w:vAlign w:val="center"/>
          </w:tcPr>
          <w:p>
            <w:r/>
            <w:r>
              <w:rPr>
                <w:b w:val="0"/>
                <w:color w:val="222222"/>
                <w:sz w:val="17"/>
              </w:rPr>
              <w:t>Flag conversion failures; investigate before dropping</w:t>
            </w:r>
          </w:p>
        </w:tc>
        <w:tc>
          <w:tcPr>
            <w:tcW w:type="dxa" w:w="2520"/>
            <w:vAlign w:val="center"/>
          </w:tcPr>
          <w:p>
            <w:r/>
            <w:r>
              <w:rPr>
                <w:b w:val="0"/>
                <w:color w:val="222222"/>
                <w:sz w:val="17"/>
              </w:rPr>
              <w:t>Dates drive all time-based analysis</w:t>
            </w:r>
          </w:p>
        </w:tc>
      </w:tr>
      <w:tr>
        <w:tc>
          <w:tcPr>
            <w:tcW w:type="dxa" w:w="2520"/>
            <w:vAlign w:val="center"/>
          </w:tcPr>
          <w:p>
            <w:r/>
            <w:r>
              <w:rPr>
                <w:b w:val="0"/>
                <w:color w:val="222222"/>
                <w:sz w:val="17"/>
              </w:rPr>
              <w:t>Extreme quantity/price</w:t>
            </w:r>
          </w:p>
        </w:tc>
        <w:tc>
          <w:tcPr>
            <w:tcW w:type="dxa" w:w="2520"/>
            <w:vAlign w:val="center"/>
          </w:tcPr>
          <w:p>
            <w:r/>
            <w:r>
              <w:rPr>
                <w:b w:val="0"/>
                <w:color w:val="222222"/>
                <w:sz w:val="17"/>
              </w:rPr>
              <w:t>IQR, quantiles, business limits</w:t>
            </w:r>
          </w:p>
        </w:tc>
        <w:tc>
          <w:tcPr>
            <w:tcW w:type="dxa" w:w="2520"/>
            <w:vAlign w:val="center"/>
          </w:tcPr>
          <w:p>
            <w:r/>
            <w:r>
              <w:rPr>
                <w:b w:val="0"/>
                <w:color w:val="222222"/>
                <w:sz w:val="17"/>
              </w:rPr>
              <w:t>Flag rather than automatically delete; winsorize only if justified</w:t>
            </w:r>
          </w:p>
        </w:tc>
        <w:tc>
          <w:tcPr>
            <w:tcW w:type="dxa" w:w="2520"/>
            <w:vAlign w:val="center"/>
          </w:tcPr>
          <w:p>
            <w:r/>
            <w:r>
              <w:rPr>
                <w:b w:val="0"/>
                <w:color w:val="222222"/>
                <w:sz w:val="17"/>
              </w:rPr>
              <w:t>Large wholesale orders may be genuine</w:t>
            </w:r>
          </w:p>
        </w:tc>
      </w:tr>
      <w:tr>
        <w:tc>
          <w:tcPr>
            <w:tcW w:type="dxa" w:w="2520"/>
            <w:vAlign w:val="center"/>
          </w:tcPr>
          <w:p>
            <w:r/>
            <w:r>
              <w:rPr>
                <w:b w:val="0"/>
                <w:color w:val="222222"/>
                <w:sz w:val="17"/>
              </w:rPr>
              <w:t>Inconsistent text</w:t>
            </w:r>
          </w:p>
        </w:tc>
        <w:tc>
          <w:tcPr>
            <w:tcW w:type="dxa" w:w="2520"/>
            <w:vAlign w:val="center"/>
          </w:tcPr>
          <w:p>
            <w:r/>
            <w:r>
              <w:rPr>
                <w:b w:val="0"/>
                <w:color w:val="222222"/>
                <w:sz w:val="17"/>
              </w:rPr>
              <w:t>unique(), value_counts(), string normalization</w:t>
            </w:r>
          </w:p>
        </w:tc>
        <w:tc>
          <w:tcPr>
            <w:tcW w:type="dxa" w:w="2520"/>
            <w:vAlign w:val="center"/>
          </w:tcPr>
          <w:p>
            <w:r/>
            <w:r>
              <w:rPr>
                <w:b w:val="0"/>
                <w:color w:val="222222"/>
                <w:sz w:val="17"/>
              </w:rPr>
              <w:t>Trim whitespace and standardize case where appropriate</w:t>
            </w:r>
          </w:p>
        </w:tc>
        <w:tc>
          <w:tcPr>
            <w:tcW w:type="dxa" w:w="2520"/>
            <w:vAlign w:val="center"/>
          </w:tcPr>
          <w:p>
            <w:r/>
            <w:r>
              <w:rPr>
                <w:b w:val="0"/>
                <w:color w:val="222222"/>
                <w:sz w:val="17"/>
              </w:rPr>
              <w:t>Prevents duplicate categories</w:t>
            </w:r>
          </w:p>
        </w:tc>
      </w:tr>
    </w:tbl>
    <w:p/>
    <w:p>
      <w:pPr>
        <w:pStyle w:val="Heading1"/>
      </w:pPr>
      <w:r>
        <w:t>6. Missing Value Handling</w:t>
      </w:r>
    </w:p>
    <w:p>
      <w:r>
        <w:t>Missingness should be handled according to the purpose of each field. A blanket rule such as replacing every missing value with zero can create false information. For example, a missing CustomerID does not mean that the customer is customer zero; it means the customer identifier is unavailable.</w:t>
      </w:r>
    </w:p>
    <w:p>
      <w:pPr>
        <w:pStyle w:val="ListBullet"/>
        <w:spacing w:after="60"/>
      </w:pPr>
      <w:r>
        <w:t>CustomerID: preserve missing values for transaction-level demand analysis; exclude missing IDs only when performing customer-level segmentation.</w:t>
      </w:r>
    </w:p>
    <w:p>
      <w:pPr>
        <w:pStyle w:val="ListBullet"/>
        <w:spacing w:after="60"/>
      </w:pPr>
      <w:r>
        <w:t>Description: use StockCode-level mapping only if a reliable one-to-one mapping exists; otherwise retain missing text.</w:t>
      </w:r>
    </w:p>
    <w:p>
      <w:pPr>
        <w:pStyle w:val="ListBullet"/>
        <w:spacing w:after="60"/>
      </w:pPr>
      <w:r>
        <w:t>Numeric variables: use median or model-based imputation only when missingness is limited and the variable is required for modeling.</w:t>
      </w:r>
    </w:p>
    <w:p>
      <w:pPr>
        <w:pStyle w:val="ListBullet"/>
        <w:spacing w:after="60"/>
      </w:pPr>
      <w:r>
        <w:t>Date fields: do not impute arbitrarily because an incorrect timestamp can create false seasonality.</w:t>
      </w:r>
    </w:p>
    <w:p>
      <w:pPr>
        <w:pStyle w:val="ListBullet"/>
        <w:spacing w:after="60"/>
      </w:pPr>
      <w:r>
        <w:t>Always record the number and percentage of values affected before and after treatment.</w:t>
      </w:r>
    </w:p>
    <w:p>
      <w:pPr>
        <w:ind w:left="216" w:right="216"/>
        <w:shd w:fill="F5F5F5"/>
      </w:pPr>
      <w:r>
        <w:rPr>
          <w:rFonts w:ascii="Consolas" w:hAnsi="Consolas"/>
          <w:color w:val="333333"/>
          <w:sz w:val="16"/>
        </w:rPr>
        <w:t>import pandas as pd</w:t>
        <w:br/>
        <w:br/>
        <w:t>df = pd.read_excel("Online Retail.xlsx")</w:t>
        <w:br/>
        <w:br/>
        <w:t>missing = (</w:t>
        <w:br/>
        <w:t xml:space="preserve">    df.isna()</w:t>
        <w:br/>
        <w:t xml:space="preserve">      .sum()</w:t>
        <w:br/>
        <w:t xml:space="preserve">      .sort_values(ascending=False)</w:t>
        <w:br/>
        <w:t xml:space="preserve">      .to_frame("missing_count")</w:t>
        <w:br/>
        <w:t>)</w:t>
        <w:br/>
        <w:br/>
        <w:t>missing["missing_pct"] = 100 * missing["missing_count"] / len(df)</w:t>
        <w:br/>
        <w:t>print(missing)</w:t>
        <w:br/>
        <w:br/>
        <w:t># Example: keep CustomerID missing for transaction analysis</w:t>
        <w:br/>
        <w:t># but create a customer-analysis subset when CustomerID is required.</w:t>
        <w:br/>
        <w:t>customer_df = df.dropna(subset=["CustomerID"]).copy()</w:t>
      </w:r>
    </w:p>
    <w:p/>
    <w:p>
      <w:pPr>
        <w:pStyle w:val="Heading1"/>
      </w:pPr>
      <w:r>
        <w:t>7. Duplicate, Cancellation and Return Handling</w:t>
      </w:r>
    </w:p>
    <w:p>
      <w:r>
        <w:t>Exact duplicate records can inflate demand and revenue. However, repeated invoices are not automatically duplicates; an invoice may contain multiple legitimate line items. Therefore, only exact duplicated rows should be removed at this stage.</w:t>
      </w:r>
    </w:p>
    <w:p>
      <w:pPr>
        <w:ind w:left="216" w:right="216"/>
        <w:shd w:fill="F5F5F5"/>
      </w:pPr>
      <w:r>
        <w:rPr>
          <w:rFonts w:ascii="Consolas" w:hAnsi="Consolas"/>
          <w:color w:val="333333"/>
          <w:sz w:val="16"/>
        </w:rPr>
        <w:t>df = df.drop_duplicates().copy()</w:t>
        <w:br/>
        <w:br/>
        <w:t>df["InvoiceNo"] = df["InvoiceNo"].astype(str).str.strip()</w:t>
        <w:br/>
        <w:t>df["IsCancellation"] = df["InvoiceNo"].str.upper().str.startswith("C")</w:t>
        <w:br/>
        <w:br/>
        <w:t>sales = df[~df["IsCancellation"]].copy()</w:t>
        <w:br/>
        <w:t>returns = df[df["IsCancellation"]].copy()</w:t>
        <w:br/>
        <w:br/>
        <w:t>print("Total rows:", len(df))</w:t>
        <w:br/>
        <w:t>print("Sales rows:", len(sales))</w:t>
        <w:br/>
        <w:t>print("Cancellation rows:", len(returns))</w:t>
      </w:r>
    </w:p>
    <w:p/>
    <w:p>
      <w:r>
        <w:t>For logistics demand forecasting, the positive-demand table can exclude cancellations and non-positive quantities. For reverse-logistics analysis, those records should instead be retained as a separate returns/cancellations dataset.</w:t>
      </w:r>
    </w:p>
    <w:p>
      <w:pPr>
        <w:pStyle w:val="Heading1"/>
      </w:pPr>
      <w:r>
        <w:t>8. Outlier Detection and Treatment</w:t>
      </w:r>
    </w:p>
    <w:p>
      <w:r>
        <w:t>Outliers are observations that are unusually large or small relative to the rest of the data. In logistics, extreme observations can be genuine: a wholesaler may place a very large order, so automatic deletion is risky. The recommended process is detect → inspect → classify → treat.</w:t>
      </w:r>
    </w:p>
    <w:p>
      <w:pPr>
        <w:pStyle w:val="Heading2"/>
      </w:pPr>
      <w:r>
        <w:t>8.1 IQR method</w:t>
      </w:r>
    </w:p>
    <w:p>
      <w:r>
        <w:t>For a numeric variable X, the interquartile range is IQR = Q3 − Q1. Observations below Q1 − 1.5×IQR or above Q3 + 1.5×IQR can be flagged. This is a detection rule, not an automatic deletion rule.</w:t>
      </w:r>
    </w:p>
    <w:p>
      <w:pPr>
        <w:ind w:left="216" w:right="216"/>
        <w:shd w:fill="F5F5F5"/>
      </w:pPr>
      <w:r>
        <w:rPr>
          <w:rFonts w:ascii="Consolas" w:hAnsi="Consolas"/>
          <w:color w:val="333333"/>
          <w:sz w:val="16"/>
        </w:rPr>
        <w:t>def iqr_bounds(series):</w:t>
        <w:br/>
        <w:t xml:space="preserve">    q1 = series.quantile(0.25)</w:t>
        <w:br/>
        <w:t xml:space="preserve">    q3 = series.quantile(0.75)</w:t>
        <w:br/>
        <w:t xml:space="preserve">    iqr = q3 - q1</w:t>
        <w:br/>
        <w:t xml:space="preserve">    return q1 - 1.5 * iqr, q3 + 1.5 * iqr</w:t>
        <w:br/>
        <w:br/>
        <w:t>low, high = iqr_bounds(sales["Quantity"])</w:t>
        <w:br/>
        <w:t>sales["Quantity_outlier"] = ~sales["Quantity"].between(low, high)</w:t>
      </w:r>
    </w:p>
    <w:p/>
    <w:p>
      <w:pPr>
        <w:pStyle w:val="Heading2"/>
      </w:pPr>
      <w:r>
        <w:t>8.2 Quantile inspection</w:t>
      </w:r>
    </w:p>
    <w:p>
      <w:pPr>
        <w:ind w:left="216" w:right="216"/>
        <w:shd w:fill="F5F5F5"/>
      </w:pPr>
      <w:r>
        <w:rPr>
          <w:rFonts w:ascii="Consolas" w:hAnsi="Consolas"/>
          <w:color w:val="333333"/>
          <w:sz w:val="16"/>
        </w:rPr>
        <w:t>print(sales[["Quantity", "UnitPrice"]].describe(</w:t>
        <w:br/>
        <w:t xml:space="preserve">    percentiles=[0.01, 0.05, 0.50, 0.95, 0.99]</w:t>
        <w:br/>
        <w:t>))</w:t>
      </w:r>
    </w:p>
    <w:p/>
    <w:tbl>
      <w:tblPr>
        <w:tblStyle w:val="TableGrid"/>
        <w:tblW w:type="auto" w:w="0"/>
        <w:tblLook w:firstColumn="1" w:firstRow="1" w:lastColumn="0" w:lastRow="0" w:noHBand="0" w:noVBand="1" w:val="04A0"/>
      </w:tblPr>
      <w:tblGrid>
        <w:gridCol w:w="10080"/>
      </w:tblGrid>
      <w:tr>
        <w:tc>
          <w:tcPr>
            <w:tcW w:type="dxa" w:w="10080"/>
            <w:shd w:fill="EEF4F9"/>
          </w:tcPr>
          <w:p>
            <w:r>
              <w:rPr>
                <w:b/>
                <w:color w:val="17365D"/>
              </w:rPr>
              <w:t xml:space="preserve">Recommended treatment: </w:t>
            </w:r>
            <w:r>
              <w:t>Do not delete every IQR outlier. First check whether the observation is a legitimate wholesale order, return, data-entry issue or unit-of-measure problem. For machine-learning features, clipping/winsorization may be considered after documenting the business rationale.</w:t>
            </w:r>
          </w:p>
        </w:tc>
      </w:tr>
    </w:tbl>
    <w:p/>
    <w:p>
      <w:pPr>
        <w:pStyle w:val="Heading1"/>
      </w:pPr>
      <w:r>
        <w:t>9. Normalization and Standardization</w:t>
      </w:r>
    </w:p>
    <w:p>
      <w:r>
        <w:t>Normalization is not required for every preprocessing task. Tree-based models are generally insensitive to feature scale, while distance-based methods such as K-Means clustering and algorithms using gradient-based optimization can benefit from standardized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b/>
                <w:color w:val="FFFFFF"/>
                <w:sz w:val="18"/>
              </w:rPr>
              <w:t>Technique</w:t>
            </w:r>
          </w:p>
        </w:tc>
        <w:tc>
          <w:tcPr>
            <w:tcW w:type="dxa" w:w="3360"/>
            <w:vAlign w:val="center"/>
            <w:shd w:fill="17365D"/>
          </w:tcPr>
          <w:p>
            <w:r/>
            <w:r>
              <w:rPr>
                <w:b/>
                <w:color w:val="FFFFFF"/>
                <w:sz w:val="18"/>
              </w:rPr>
              <w:t>Use</w:t>
            </w:r>
          </w:p>
        </w:tc>
        <w:tc>
          <w:tcPr>
            <w:tcW w:type="dxa" w:w="3360"/>
            <w:vAlign w:val="center"/>
            <w:shd w:fill="17365D"/>
          </w:tcPr>
          <w:p>
            <w:r/>
            <w:r>
              <w:rPr>
                <w:b/>
                <w:color w:val="FFFFFF"/>
                <w:sz w:val="18"/>
              </w:rPr>
              <w:t>Example</w:t>
            </w:r>
          </w:p>
        </w:tc>
      </w:tr>
      <w:tr>
        <w:tc>
          <w:tcPr>
            <w:tcW w:type="dxa" w:w="3360"/>
            <w:vAlign w:val="center"/>
          </w:tcPr>
          <w:p>
            <w:r/>
            <w:r>
              <w:rPr>
                <w:b w:val="0"/>
                <w:color w:val="222222"/>
                <w:sz w:val="17"/>
              </w:rPr>
              <w:t>Min-Max scaling</w:t>
            </w:r>
          </w:p>
        </w:tc>
        <w:tc>
          <w:tcPr>
            <w:tcW w:type="dxa" w:w="3360"/>
            <w:vAlign w:val="center"/>
          </w:tcPr>
          <w:p>
            <w:r/>
            <w:r>
              <w:rPr>
                <w:b w:val="0"/>
                <w:color w:val="222222"/>
                <w:sz w:val="17"/>
              </w:rPr>
              <w:t>Maps values to a fixed range, commonly 0–1</w:t>
            </w:r>
          </w:p>
        </w:tc>
        <w:tc>
          <w:tcPr>
            <w:tcW w:type="dxa" w:w="3360"/>
            <w:vAlign w:val="center"/>
          </w:tcPr>
          <w:p>
            <w:r/>
            <w:r>
              <w:rPr>
                <w:b w:val="0"/>
                <w:color w:val="222222"/>
                <w:sz w:val="17"/>
              </w:rPr>
              <w:t>Suitable when bounded feature scale is desired</w:t>
            </w:r>
          </w:p>
        </w:tc>
      </w:tr>
      <w:tr>
        <w:tc>
          <w:tcPr>
            <w:tcW w:type="dxa" w:w="3360"/>
            <w:vAlign w:val="center"/>
          </w:tcPr>
          <w:p>
            <w:r/>
            <w:r>
              <w:rPr>
                <w:b w:val="0"/>
                <w:color w:val="222222"/>
                <w:sz w:val="17"/>
              </w:rPr>
              <w:t>Standardization</w:t>
            </w:r>
          </w:p>
        </w:tc>
        <w:tc>
          <w:tcPr>
            <w:tcW w:type="dxa" w:w="3360"/>
            <w:vAlign w:val="center"/>
          </w:tcPr>
          <w:p>
            <w:r/>
            <w:r>
              <w:rPr>
                <w:b w:val="0"/>
                <w:color w:val="222222"/>
                <w:sz w:val="17"/>
              </w:rPr>
              <w:t>Centers at mean 0 and scales by standard deviation 1</w:t>
            </w:r>
          </w:p>
        </w:tc>
        <w:tc>
          <w:tcPr>
            <w:tcW w:type="dxa" w:w="3360"/>
            <w:vAlign w:val="center"/>
          </w:tcPr>
          <w:p>
            <w:r/>
            <w:r>
              <w:rPr>
                <w:b w:val="0"/>
                <w:color w:val="222222"/>
                <w:sz w:val="17"/>
              </w:rPr>
              <w:t>Useful for K-Means and many linear models</w:t>
            </w:r>
          </w:p>
        </w:tc>
      </w:tr>
      <w:tr>
        <w:tc>
          <w:tcPr>
            <w:tcW w:type="dxa" w:w="3360"/>
            <w:vAlign w:val="center"/>
          </w:tcPr>
          <w:p>
            <w:r/>
            <w:r>
              <w:rPr>
                <w:b w:val="0"/>
                <w:color w:val="222222"/>
                <w:sz w:val="17"/>
              </w:rPr>
              <w:t>Robust scaling</w:t>
            </w:r>
          </w:p>
        </w:tc>
        <w:tc>
          <w:tcPr>
            <w:tcW w:type="dxa" w:w="3360"/>
            <w:vAlign w:val="center"/>
          </w:tcPr>
          <w:p>
            <w:r/>
            <w:r>
              <w:rPr>
                <w:b w:val="0"/>
                <w:color w:val="222222"/>
                <w:sz w:val="17"/>
              </w:rPr>
              <w:t>Uses median and IQR</w:t>
            </w:r>
          </w:p>
        </w:tc>
        <w:tc>
          <w:tcPr>
            <w:tcW w:type="dxa" w:w="3360"/>
            <w:vAlign w:val="center"/>
          </w:tcPr>
          <w:p>
            <w:r/>
            <w:r>
              <w:rPr>
                <w:b w:val="0"/>
                <w:color w:val="222222"/>
                <w:sz w:val="17"/>
              </w:rPr>
              <w:t>Useful when features contain substantial outliers</w:t>
            </w:r>
          </w:p>
        </w:tc>
      </w:tr>
    </w:tbl>
    <w:p/>
    <w:p>
      <w:pPr>
        <w:ind w:left="216" w:right="216"/>
        <w:shd w:fill="F5F5F5"/>
      </w:pPr>
      <w:r>
        <w:rPr>
          <w:rFonts w:ascii="Consolas" w:hAnsi="Consolas"/>
          <w:color w:val="333333"/>
          <w:sz w:val="16"/>
        </w:rPr>
        <w:t>from sklearn.preprocessing import StandardScaler, RobustScaler</w:t>
        <w:br/>
        <w:br/>
        <w:t>features = ["Quantity", "UnitPrice"]</w:t>
        <w:br/>
        <w:br/>
        <w:t>scaler = StandardScaler()</w:t>
        <w:br/>
        <w:t>X_scaled = scaler.fit_transform(sales[features].fillna(0))</w:t>
        <w:br/>
        <w:br/>
        <w:t># Alternative when outliers are strong:</w:t>
        <w:br/>
        <w:t>robust = RobustScaler()</w:t>
        <w:br/>
        <w:t>X_robust = robust.fit_transform(sales[features].fillna(0))</w:t>
      </w:r>
    </w:p>
    <w:p/>
    <w:p>
      <w:r>
        <w:t>Important: fit scalers on the training data only when a predictive model is being developed. Fitting on the entire dataset before a train/test split can leak information from the future test set into the training process.</w:t>
      </w:r>
    </w:p>
    <w:p>
      <w:pPr>
        <w:pStyle w:val="Heading1"/>
      </w:pPr>
      <w:r>
        <w:t>10. End-to-End Python Preprocessing Pipeline</w:t>
      </w:r>
    </w:p>
    <w:p>
      <w:pPr>
        <w:ind w:left="216" w:right="216"/>
        <w:shd w:fill="F5F5F5"/>
      </w:pPr>
      <w:r>
        <w:rPr>
          <w:rFonts w:ascii="Consolas" w:hAnsi="Consolas"/>
          <w:color w:val="333333"/>
          <w:sz w:val="16"/>
        </w:rPr>
        <w:t>import pandas as pd</w:t>
        <w:br/>
        <w:t>import numpy as np</w:t>
        <w:br/>
        <w:br/>
        <w:t># 1. Load</w:t>
        <w:br/>
        <w:t>df = pd.read_excel("Online Retail.xlsx")</w:t>
        <w:br/>
        <w:br/>
        <w:t># 2. Standardize column names</w:t>
        <w:br/>
        <w:t>df.columns = [c.strip().replace(" ", "_") for c in df.columns]</w:t>
        <w:br/>
        <w:br/>
        <w:t># 3. Parse types</w:t>
        <w:br/>
        <w:t>df["InvoiceDate"] = pd.to_datetime(df["InvoiceDate"], errors="coerce")</w:t>
        <w:br/>
        <w:t>df["InvoiceNo"] = df["InvoiceNo"].astype(str).str.strip()</w:t>
        <w:br/>
        <w:t>df["StockCode"] = df["StockCode"].astype(str).str.strip()</w:t>
        <w:br/>
        <w:br/>
        <w:t># 4. Profile</w:t>
        <w:br/>
        <w:t>print(df.shape)</w:t>
        <w:br/>
        <w:t>print(df.isna().sum())</w:t>
        <w:br/>
        <w:t>print(df.duplicated().sum())</w:t>
        <w:br/>
        <w:br/>
        <w:t># 5. Remove exact duplicates</w:t>
        <w:br/>
        <w:t>df = df.drop_duplicates()</w:t>
        <w:br/>
        <w:br/>
        <w:t># 6. Create operational flags</w:t>
        <w:br/>
        <w:t>df["IsCancellation"] = df["InvoiceNo"].str.upper().str.startswith("C")</w:t>
        <w:br/>
        <w:t>df["Revenue"] = df["Quantity"] * df["UnitPrice"]</w:t>
        <w:br/>
        <w:br/>
        <w:t># 7. Build positive-demand table</w:t>
        <w:br/>
        <w:t>clean = df[</w:t>
        <w:br/>
        <w:t xml:space="preserve">    (~df["IsCancellation"]) &amp;</w:t>
        <w:br/>
        <w:t xml:space="preserve">    (df["Quantity"] &gt; 0) &amp;</w:t>
        <w:br/>
        <w:t xml:space="preserve">    (df["UnitPrice"] &gt; 0) &amp;</w:t>
        <w:br/>
        <w:t xml:space="preserve">    (df["InvoiceDate"].notna())</w:t>
        <w:br/>
        <w:t>].copy()</w:t>
        <w:br/>
        <w:br/>
        <w:t># 8. Derived time features</w:t>
        <w:br/>
        <w:t>clean["Date"] = clean["InvoiceDate"].dt.normalize()</w:t>
        <w:br/>
        <w:t>clean["Year"] = clean["InvoiceDate"].dt.year</w:t>
        <w:br/>
        <w:t>clean["Month"] = clean["InvoiceDate"].dt.month</w:t>
        <w:br/>
        <w:t>clean["DayOfWeek"] = clean["InvoiceDate"].dt.dayofweek</w:t>
        <w:br/>
        <w:br/>
        <w:t># 9. Final validation</w:t>
        <w:br/>
        <w:t>assert clean["Quantity"].gt(0).all()</w:t>
        <w:br/>
        <w:t>assert clean["UnitPrice"].gt(0).all()</w:t>
        <w:br/>
        <w:t>assert clean["InvoiceDate"].notna().all()</w:t>
        <w:br/>
        <w:br/>
        <w:t># 10. Save</w:t>
        <w:br/>
        <w:t>clean.to_csv("clean_online_retail.csv", index=False)</w:t>
        <w:br/>
        <w:t>print("Clean rows:", len(clean))</w:t>
      </w:r>
    </w:p>
    <w:p/>
    <w:p>
      <w:pPr>
        <w:pStyle w:val="Heading1"/>
      </w:pPr>
      <w:r>
        <w:t>11. Validation and Quality-Control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b/>
                <w:color w:val="FFFFFF"/>
                <w:sz w:val="18"/>
              </w:rPr>
              <w:t>Check</w:t>
            </w:r>
          </w:p>
        </w:tc>
        <w:tc>
          <w:tcPr>
            <w:tcW w:type="dxa" w:w="3360"/>
            <w:vAlign w:val="center"/>
            <w:shd w:fill="17365D"/>
          </w:tcPr>
          <w:p>
            <w:r/>
            <w:r>
              <w:rPr>
                <w:b/>
                <w:color w:val="FFFFFF"/>
                <w:sz w:val="18"/>
              </w:rPr>
              <w:t>Expected result</w:t>
            </w:r>
          </w:p>
        </w:tc>
        <w:tc>
          <w:tcPr>
            <w:tcW w:type="dxa" w:w="3360"/>
            <w:vAlign w:val="center"/>
            <w:shd w:fill="17365D"/>
          </w:tcPr>
          <w:p>
            <w:r/>
            <w:r>
              <w:rPr>
                <w:b/>
                <w:color w:val="FFFFFF"/>
                <w:sz w:val="18"/>
              </w:rPr>
              <w:t>Why it matters</w:t>
            </w:r>
          </w:p>
        </w:tc>
      </w:tr>
      <w:tr>
        <w:tc>
          <w:tcPr>
            <w:tcW w:type="dxa" w:w="3360"/>
            <w:vAlign w:val="center"/>
          </w:tcPr>
          <w:p>
            <w:r/>
            <w:r>
              <w:rPr>
                <w:b w:val="0"/>
                <w:color w:val="222222"/>
                <w:sz w:val="17"/>
              </w:rPr>
              <w:t>Row count before/after</w:t>
            </w:r>
          </w:p>
        </w:tc>
        <w:tc>
          <w:tcPr>
            <w:tcW w:type="dxa" w:w="3360"/>
            <w:vAlign w:val="center"/>
          </w:tcPr>
          <w:p>
            <w:r/>
            <w:r>
              <w:rPr>
                <w:b w:val="0"/>
                <w:color w:val="222222"/>
                <w:sz w:val="17"/>
              </w:rPr>
              <w:t>Difference explained</w:t>
            </w:r>
          </w:p>
        </w:tc>
        <w:tc>
          <w:tcPr>
            <w:tcW w:type="dxa" w:w="3360"/>
            <w:vAlign w:val="center"/>
          </w:tcPr>
          <w:p>
            <w:r/>
            <w:r>
              <w:rPr>
                <w:b w:val="0"/>
                <w:color w:val="222222"/>
                <w:sz w:val="17"/>
              </w:rPr>
              <w:t>Prevents silent data loss</w:t>
            </w:r>
          </w:p>
        </w:tc>
      </w:tr>
      <w:tr>
        <w:tc>
          <w:tcPr>
            <w:tcW w:type="dxa" w:w="3360"/>
            <w:vAlign w:val="center"/>
          </w:tcPr>
          <w:p>
            <w:r/>
            <w:r>
              <w:rPr>
                <w:b w:val="0"/>
                <w:color w:val="222222"/>
                <w:sz w:val="17"/>
              </w:rPr>
              <w:t>Null count</w:t>
            </w:r>
          </w:p>
        </w:tc>
        <w:tc>
          <w:tcPr>
            <w:tcW w:type="dxa" w:w="3360"/>
            <w:vAlign w:val="center"/>
          </w:tcPr>
          <w:p>
            <w:r/>
            <w:r>
              <w:rPr>
                <w:b w:val="0"/>
                <w:color w:val="222222"/>
                <w:sz w:val="17"/>
              </w:rPr>
              <w:t>Required fields have acceptable missingness</w:t>
            </w:r>
          </w:p>
        </w:tc>
        <w:tc>
          <w:tcPr>
            <w:tcW w:type="dxa" w:w="3360"/>
            <w:vAlign w:val="center"/>
          </w:tcPr>
          <w:p>
            <w:r/>
            <w:r>
              <w:rPr>
                <w:b w:val="0"/>
                <w:color w:val="222222"/>
                <w:sz w:val="17"/>
              </w:rPr>
              <w:t>Protects downstream models</w:t>
            </w:r>
          </w:p>
        </w:tc>
      </w:tr>
      <w:tr>
        <w:tc>
          <w:tcPr>
            <w:tcW w:type="dxa" w:w="3360"/>
            <w:vAlign w:val="center"/>
          </w:tcPr>
          <w:p>
            <w:r/>
            <w:r>
              <w:rPr>
                <w:b w:val="0"/>
                <w:color w:val="222222"/>
                <w:sz w:val="17"/>
              </w:rPr>
              <w:t>Duplicate count</w:t>
            </w:r>
          </w:p>
        </w:tc>
        <w:tc>
          <w:tcPr>
            <w:tcW w:type="dxa" w:w="3360"/>
            <w:vAlign w:val="center"/>
          </w:tcPr>
          <w:p>
            <w:r/>
            <w:r>
              <w:rPr>
                <w:b w:val="0"/>
                <w:color w:val="222222"/>
                <w:sz w:val="17"/>
              </w:rPr>
              <w:t>Exact duplicates removed or justified</w:t>
            </w:r>
          </w:p>
        </w:tc>
        <w:tc>
          <w:tcPr>
            <w:tcW w:type="dxa" w:w="3360"/>
            <w:vAlign w:val="center"/>
          </w:tcPr>
          <w:p>
            <w:r/>
            <w:r>
              <w:rPr>
                <w:b w:val="0"/>
                <w:color w:val="222222"/>
                <w:sz w:val="17"/>
              </w:rPr>
              <w:t>Prevents double counting</w:t>
            </w:r>
          </w:p>
        </w:tc>
      </w:tr>
      <w:tr>
        <w:tc>
          <w:tcPr>
            <w:tcW w:type="dxa" w:w="3360"/>
            <w:vAlign w:val="center"/>
          </w:tcPr>
          <w:p>
            <w:r/>
            <w:r>
              <w:rPr>
                <w:b w:val="0"/>
                <w:color w:val="222222"/>
                <w:sz w:val="17"/>
              </w:rPr>
              <w:t>Date range</w:t>
            </w:r>
          </w:p>
        </w:tc>
        <w:tc>
          <w:tcPr>
            <w:tcW w:type="dxa" w:w="3360"/>
            <w:vAlign w:val="center"/>
          </w:tcPr>
          <w:p>
            <w:r/>
            <w:r>
              <w:rPr>
                <w:b w:val="0"/>
                <w:color w:val="222222"/>
                <w:sz w:val="17"/>
              </w:rPr>
              <w:t>Matches source documentation after cleaning</w:t>
            </w:r>
          </w:p>
        </w:tc>
        <w:tc>
          <w:tcPr>
            <w:tcW w:type="dxa" w:w="3360"/>
            <w:vAlign w:val="center"/>
          </w:tcPr>
          <w:p>
            <w:r/>
            <w:r>
              <w:rPr>
                <w:b w:val="0"/>
                <w:color w:val="222222"/>
                <w:sz w:val="17"/>
              </w:rPr>
              <w:t>Prevents accidental filtering</w:t>
            </w:r>
          </w:p>
        </w:tc>
      </w:tr>
      <w:tr>
        <w:tc>
          <w:tcPr>
            <w:tcW w:type="dxa" w:w="3360"/>
            <w:vAlign w:val="center"/>
          </w:tcPr>
          <w:p>
            <w:r/>
            <w:r>
              <w:rPr>
                <w:b w:val="0"/>
                <w:color w:val="222222"/>
                <w:sz w:val="17"/>
              </w:rPr>
              <w:t>Quantity range</w:t>
            </w:r>
          </w:p>
        </w:tc>
        <w:tc>
          <w:tcPr>
            <w:tcW w:type="dxa" w:w="3360"/>
            <w:vAlign w:val="center"/>
          </w:tcPr>
          <w:p>
            <w:r/>
            <w:r>
              <w:rPr>
                <w:b w:val="0"/>
                <w:color w:val="222222"/>
                <w:sz w:val="17"/>
              </w:rPr>
              <w:t>Positive in sales table</w:t>
            </w:r>
          </w:p>
        </w:tc>
        <w:tc>
          <w:tcPr>
            <w:tcW w:type="dxa" w:w="3360"/>
            <w:vAlign w:val="center"/>
          </w:tcPr>
          <w:p>
            <w:r/>
            <w:r>
              <w:rPr>
                <w:b w:val="0"/>
                <w:color w:val="222222"/>
                <w:sz w:val="17"/>
              </w:rPr>
              <w:t>Makes demand interpretation valid</w:t>
            </w:r>
          </w:p>
        </w:tc>
      </w:tr>
      <w:tr>
        <w:tc>
          <w:tcPr>
            <w:tcW w:type="dxa" w:w="3360"/>
            <w:vAlign w:val="center"/>
          </w:tcPr>
          <w:p>
            <w:r/>
            <w:r>
              <w:rPr>
                <w:b w:val="0"/>
                <w:color w:val="222222"/>
                <w:sz w:val="17"/>
              </w:rPr>
              <w:t>UnitPrice range</w:t>
            </w:r>
          </w:p>
        </w:tc>
        <w:tc>
          <w:tcPr>
            <w:tcW w:type="dxa" w:w="3360"/>
            <w:vAlign w:val="center"/>
          </w:tcPr>
          <w:p>
            <w:r/>
            <w:r>
              <w:rPr>
                <w:b w:val="0"/>
                <w:color w:val="222222"/>
                <w:sz w:val="17"/>
              </w:rPr>
              <w:t>Positive in revenue table</w:t>
            </w:r>
          </w:p>
        </w:tc>
        <w:tc>
          <w:tcPr>
            <w:tcW w:type="dxa" w:w="3360"/>
            <w:vAlign w:val="center"/>
          </w:tcPr>
          <w:p>
            <w:r/>
            <w:r>
              <w:rPr>
                <w:b w:val="0"/>
                <w:color w:val="222222"/>
                <w:sz w:val="17"/>
              </w:rPr>
              <w:t>Prevents invalid revenue</w:t>
            </w:r>
          </w:p>
        </w:tc>
      </w:tr>
      <w:tr>
        <w:tc>
          <w:tcPr>
            <w:tcW w:type="dxa" w:w="3360"/>
            <w:vAlign w:val="center"/>
          </w:tcPr>
          <w:p>
            <w:r/>
            <w:r>
              <w:rPr>
                <w:b w:val="0"/>
                <w:color w:val="222222"/>
                <w:sz w:val="17"/>
              </w:rPr>
              <w:t>Cancellation count</w:t>
            </w:r>
          </w:p>
        </w:tc>
        <w:tc>
          <w:tcPr>
            <w:tcW w:type="dxa" w:w="3360"/>
            <w:vAlign w:val="center"/>
          </w:tcPr>
          <w:p>
            <w:r/>
            <w:r>
              <w:rPr>
                <w:b w:val="0"/>
                <w:color w:val="222222"/>
                <w:sz w:val="17"/>
              </w:rPr>
              <w:t>Tracked separately</w:t>
            </w:r>
          </w:p>
        </w:tc>
        <w:tc>
          <w:tcPr>
            <w:tcW w:type="dxa" w:w="3360"/>
            <w:vAlign w:val="center"/>
          </w:tcPr>
          <w:p>
            <w:r/>
            <w:r>
              <w:rPr>
                <w:b w:val="0"/>
                <w:color w:val="222222"/>
                <w:sz w:val="17"/>
              </w:rPr>
              <w:t>Supports reverse logistics</w:t>
            </w:r>
          </w:p>
        </w:tc>
      </w:tr>
      <w:tr>
        <w:tc>
          <w:tcPr>
            <w:tcW w:type="dxa" w:w="3360"/>
            <w:vAlign w:val="center"/>
          </w:tcPr>
          <w:p>
            <w:r/>
            <w:r>
              <w:rPr>
                <w:b w:val="0"/>
                <w:color w:val="222222"/>
                <w:sz w:val="17"/>
              </w:rPr>
              <w:t>Unique products</w:t>
            </w:r>
          </w:p>
        </w:tc>
        <w:tc>
          <w:tcPr>
            <w:tcW w:type="dxa" w:w="3360"/>
            <w:vAlign w:val="center"/>
          </w:tcPr>
          <w:p>
            <w:r/>
            <w:r>
              <w:rPr>
                <w:b w:val="0"/>
                <w:color w:val="222222"/>
                <w:sz w:val="17"/>
              </w:rPr>
              <w:t>Reasonable and documented</w:t>
            </w:r>
          </w:p>
        </w:tc>
        <w:tc>
          <w:tcPr>
            <w:tcW w:type="dxa" w:w="3360"/>
            <w:vAlign w:val="center"/>
          </w:tcPr>
          <w:p>
            <w:r/>
            <w:r>
              <w:rPr>
                <w:b w:val="0"/>
                <w:color w:val="222222"/>
                <w:sz w:val="17"/>
              </w:rPr>
              <w:t>Detects malformed product codes</w:t>
            </w:r>
          </w:p>
        </w:tc>
      </w:tr>
      <w:tr>
        <w:tc>
          <w:tcPr>
            <w:tcW w:type="dxa" w:w="3360"/>
            <w:vAlign w:val="center"/>
          </w:tcPr>
          <w:p>
            <w:r/>
            <w:r>
              <w:rPr>
                <w:b w:val="0"/>
                <w:color w:val="222222"/>
                <w:sz w:val="17"/>
              </w:rPr>
              <w:t>Country categories</w:t>
            </w:r>
          </w:p>
        </w:tc>
        <w:tc>
          <w:tcPr>
            <w:tcW w:type="dxa" w:w="3360"/>
            <w:vAlign w:val="center"/>
          </w:tcPr>
          <w:p>
            <w:r/>
            <w:r>
              <w:rPr>
                <w:b w:val="0"/>
                <w:color w:val="222222"/>
                <w:sz w:val="17"/>
              </w:rPr>
              <w:t>Standardized</w:t>
            </w:r>
          </w:p>
        </w:tc>
        <w:tc>
          <w:tcPr>
            <w:tcW w:type="dxa" w:w="3360"/>
            <w:vAlign w:val="center"/>
          </w:tcPr>
          <w:p>
            <w:r/>
            <w:r>
              <w:rPr>
                <w:b w:val="0"/>
                <w:color w:val="222222"/>
                <w:sz w:val="17"/>
              </w:rPr>
              <w:t>Prevents category fragmentation</w:t>
            </w:r>
          </w:p>
        </w:tc>
      </w:tr>
      <w:tr>
        <w:tc>
          <w:tcPr>
            <w:tcW w:type="dxa" w:w="3360"/>
            <w:vAlign w:val="center"/>
          </w:tcPr>
          <w:p>
            <w:r/>
            <w:r>
              <w:rPr>
                <w:b w:val="0"/>
                <w:color w:val="222222"/>
                <w:sz w:val="17"/>
              </w:rPr>
              <w:t>Output schema</w:t>
            </w:r>
          </w:p>
        </w:tc>
        <w:tc>
          <w:tcPr>
            <w:tcW w:type="dxa" w:w="3360"/>
            <w:vAlign w:val="center"/>
          </w:tcPr>
          <w:p>
            <w:r/>
            <w:r>
              <w:rPr>
                <w:b w:val="0"/>
                <w:color w:val="222222"/>
                <w:sz w:val="17"/>
              </w:rPr>
              <w:t>Matches expected analytical table</w:t>
            </w:r>
          </w:p>
        </w:tc>
        <w:tc>
          <w:tcPr>
            <w:tcW w:type="dxa" w:w="3360"/>
            <w:vAlign w:val="center"/>
          </w:tcPr>
          <w:p>
            <w:r/>
            <w:r>
              <w:rPr>
                <w:b w:val="0"/>
                <w:color w:val="222222"/>
                <w:sz w:val="17"/>
              </w:rPr>
              <w:t>Ensures pipeline compatibility</w:t>
            </w:r>
          </w:p>
        </w:tc>
      </w:tr>
    </w:tbl>
    <w:p/>
    <w:p>
      <w:pPr>
        <w:pStyle w:val="Heading1"/>
      </w:pPr>
      <w:r>
        <w:t>12. Data Leakage and Preprocessing Order</w:t>
      </w:r>
    </w:p>
    <w:p>
      <w:r>
        <w:t>Preprocessing order matters. Operations that learn parameters from the data—such as scaling, imputation statistics and feature selection—should be fitted only on training data when the final objective is predictive modeling. The safe sequence is: split chronologically → fit preprocessing on training → transform training and test → train model → evaluate on untouched test data.</w:t>
      </w:r>
    </w:p>
    <w:p>
      <w:pPr>
        <w:ind w:left="216" w:right="216"/>
        <w:shd w:fill="F5F5F5"/>
      </w:pPr>
      <w:r>
        <w:rPr>
          <w:rFonts w:ascii="Consolas" w:hAnsi="Consolas"/>
          <w:color w:val="333333"/>
          <w:sz w:val="16"/>
        </w:rPr>
        <w:t># Conceptual time-aware split</w:t>
        <w:br/>
        <w:t>train = clean[clean["Date"] &lt; "2011-10-01"].copy()</w:t>
        <w:br/>
        <w:t>test  = clean[clean["Date"] &gt;= "2011-10-01"].copy()</w:t>
        <w:br/>
        <w:br/>
        <w:t>from sklearn.preprocessing import StandardScaler</w:t>
        <w:br/>
        <w:br/>
        <w:t>scaler = StandardScaler()</w:t>
        <w:br/>
        <w:t>X_train = scaler.fit_transform(train[["Quantity", "UnitPrice"]])</w:t>
        <w:br/>
        <w:t>X_test = scaler.transform(test[["Quantity", "UnitPrice"]])</w:t>
      </w:r>
    </w:p>
    <w:p/>
    <w:p>
      <w:pPr>
        <w:pStyle w:val="Heading1"/>
      </w:pPr>
      <w:r>
        <w:t>13. Expected Output Files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b/>
                <w:color w:val="FFFFFF"/>
                <w:sz w:val="18"/>
              </w:rPr>
              <w:t>File</w:t>
            </w:r>
          </w:p>
        </w:tc>
        <w:tc>
          <w:tcPr>
            <w:tcW w:type="dxa" w:w="5040"/>
            <w:vAlign w:val="center"/>
            <w:shd w:fill="17365D"/>
          </w:tcPr>
          <w:p>
            <w:r/>
            <w:r>
              <w:rPr>
                <w:b/>
                <w:color w:val="FFFFFF"/>
                <w:sz w:val="18"/>
              </w:rPr>
              <w:t>Purpose</w:t>
            </w:r>
          </w:p>
        </w:tc>
      </w:tr>
      <w:tr>
        <w:tc>
          <w:tcPr>
            <w:tcW w:type="dxa" w:w="5040"/>
            <w:vAlign w:val="center"/>
          </w:tcPr>
          <w:p>
            <w:r/>
            <w:r>
              <w:rPr>
                <w:b w:val="0"/>
                <w:color w:val="222222"/>
                <w:sz w:val="17"/>
              </w:rPr>
              <w:t>raw/Online Retail.xlsx</w:t>
            </w:r>
          </w:p>
        </w:tc>
        <w:tc>
          <w:tcPr>
            <w:tcW w:type="dxa" w:w="5040"/>
            <w:vAlign w:val="center"/>
          </w:tcPr>
          <w:p>
            <w:r/>
            <w:r>
              <w:rPr>
                <w:b w:val="0"/>
                <w:color w:val="222222"/>
                <w:sz w:val="17"/>
              </w:rPr>
              <w:t>Original downloaded source; never overwritten</w:t>
            </w:r>
          </w:p>
        </w:tc>
      </w:tr>
      <w:tr>
        <w:tc>
          <w:tcPr>
            <w:tcW w:type="dxa" w:w="5040"/>
            <w:vAlign w:val="center"/>
          </w:tcPr>
          <w:p>
            <w:r/>
            <w:r>
              <w:rPr>
                <w:b w:val="0"/>
                <w:color w:val="222222"/>
                <w:sz w:val="17"/>
              </w:rPr>
              <w:t>processed/clean_online_retail.csv</w:t>
            </w:r>
          </w:p>
        </w:tc>
        <w:tc>
          <w:tcPr>
            <w:tcW w:type="dxa" w:w="5040"/>
            <w:vAlign w:val="center"/>
          </w:tcPr>
          <w:p>
            <w:r/>
            <w:r>
              <w:rPr>
                <w:b w:val="0"/>
                <w:color w:val="222222"/>
                <w:sz w:val="17"/>
              </w:rPr>
              <w:t>Clean transaction-level dataset</w:t>
            </w:r>
          </w:p>
        </w:tc>
      </w:tr>
      <w:tr>
        <w:tc>
          <w:tcPr>
            <w:tcW w:type="dxa" w:w="5040"/>
            <w:vAlign w:val="center"/>
          </w:tcPr>
          <w:p>
            <w:r/>
            <w:r>
              <w:rPr>
                <w:b w:val="0"/>
                <w:color w:val="222222"/>
                <w:sz w:val="17"/>
              </w:rPr>
              <w:t>processed/data_quality_report.csv</w:t>
            </w:r>
          </w:p>
        </w:tc>
        <w:tc>
          <w:tcPr>
            <w:tcW w:type="dxa" w:w="5040"/>
            <w:vAlign w:val="center"/>
          </w:tcPr>
          <w:p>
            <w:r/>
            <w:r>
              <w:rPr>
                <w:b w:val="0"/>
                <w:color w:val="222222"/>
                <w:sz w:val="17"/>
              </w:rPr>
              <w:t>Missingness, duplicates and range checks</w:t>
            </w:r>
          </w:p>
        </w:tc>
      </w:tr>
      <w:tr>
        <w:tc>
          <w:tcPr>
            <w:tcW w:type="dxa" w:w="5040"/>
            <w:vAlign w:val="center"/>
          </w:tcPr>
          <w:p>
            <w:r/>
            <w:r>
              <w:rPr>
                <w:b w:val="0"/>
                <w:color w:val="222222"/>
                <w:sz w:val="17"/>
              </w:rPr>
              <w:t>processed/returns.csv</w:t>
            </w:r>
          </w:p>
        </w:tc>
        <w:tc>
          <w:tcPr>
            <w:tcW w:type="dxa" w:w="5040"/>
            <w:vAlign w:val="center"/>
          </w:tcPr>
          <w:p>
            <w:r/>
            <w:r>
              <w:rPr>
                <w:b w:val="0"/>
                <w:color w:val="222222"/>
                <w:sz w:val="17"/>
              </w:rPr>
              <w:t>Cancellation/return subset</w:t>
            </w:r>
          </w:p>
        </w:tc>
      </w:tr>
      <w:tr>
        <w:tc>
          <w:tcPr>
            <w:tcW w:type="dxa" w:w="5040"/>
            <w:vAlign w:val="center"/>
          </w:tcPr>
          <w:p>
            <w:r/>
            <w:r>
              <w:rPr>
                <w:b w:val="0"/>
                <w:color w:val="222222"/>
                <w:sz w:val="17"/>
              </w:rPr>
              <w:t>processed/daily_product_demand.csv</w:t>
            </w:r>
          </w:p>
        </w:tc>
        <w:tc>
          <w:tcPr>
            <w:tcW w:type="dxa" w:w="5040"/>
            <w:vAlign w:val="center"/>
          </w:tcPr>
          <w:p>
            <w:r/>
            <w:r>
              <w:rPr>
                <w:b w:val="0"/>
                <w:color w:val="222222"/>
                <w:sz w:val="17"/>
              </w:rPr>
              <w:t>Aggregated demand for later forecasting</w:t>
            </w:r>
          </w:p>
        </w:tc>
      </w:tr>
      <w:tr>
        <w:tc>
          <w:tcPr>
            <w:tcW w:type="dxa" w:w="5040"/>
            <w:vAlign w:val="center"/>
          </w:tcPr>
          <w:p>
            <w:r/>
            <w:r>
              <w:rPr>
                <w:b w:val="0"/>
                <w:color w:val="222222"/>
                <w:sz w:val="17"/>
              </w:rPr>
              <w:t>notebooks/week2_preprocessing.ipynb</w:t>
            </w:r>
          </w:p>
        </w:tc>
        <w:tc>
          <w:tcPr>
            <w:tcW w:type="dxa" w:w="5040"/>
            <w:vAlign w:val="center"/>
          </w:tcPr>
          <w:p>
            <w:r/>
            <w:r>
              <w:rPr>
                <w:b w:val="0"/>
                <w:color w:val="222222"/>
                <w:sz w:val="17"/>
              </w:rPr>
              <w:t>Reproducible walkthrough</w:t>
            </w:r>
          </w:p>
        </w:tc>
      </w:tr>
      <w:tr>
        <w:tc>
          <w:tcPr>
            <w:tcW w:type="dxa" w:w="5040"/>
            <w:vAlign w:val="center"/>
          </w:tcPr>
          <w:p>
            <w:r/>
            <w:r>
              <w:rPr>
                <w:b w:val="0"/>
                <w:color w:val="222222"/>
                <w:sz w:val="17"/>
              </w:rPr>
              <w:t>src/preprocess.py</w:t>
            </w:r>
          </w:p>
        </w:tc>
        <w:tc>
          <w:tcPr>
            <w:tcW w:type="dxa" w:w="5040"/>
            <w:vAlign w:val="center"/>
          </w:tcPr>
          <w:p>
            <w:r/>
            <w:r>
              <w:rPr>
                <w:b w:val="0"/>
                <w:color w:val="222222"/>
                <w:sz w:val="17"/>
              </w:rPr>
              <w:t>Reusable preprocessing script</w:t>
            </w:r>
          </w:p>
        </w:tc>
      </w:tr>
    </w:tbl>
    <w:p/>
    <w:p>
      <w:pPr>
        <w:pStyle w:val="Heading1"/>
      </w:pPr>
      <w:r>
        <w:t>14. Impact of Data Quality on Logistics Decisions</w:t>
      </w:r>
    </w:p>
    <w:p>
      <w:r>
        <w:t>Poor data quality can create operationally expensive conclusions. Duplicate transactions can overstate demand and lead to excess inventory. Unrecognized cancellations can make demand forecasts too optimistic. Missing or incorrect timestamps can distort seasonality and reorder timing. Extreme but legitimate wholesale orders can be wrongly removed and cause underestimation of capacity needs. Inconsistent country or product labels can fragment demand and make segmentation unreliable.</w:t>
      </w:r>
    </w:p>
    <w:p>
      <w:r>
        <w:t>A robust preprocessing layer therefore improves not only model accuracy but also the credibility of business decisions. In logistics, the objective is not to make the dataset look perfect; it is to make the data representation faithful to the operational process and explicit about uncertainty.</w:t>
      </w:r>
    </w:p>
    <w:p>
      <w:pPr>
        <w:pStyle w:val="Heading1"/>
      </w:pPr>
      <w:r>
        <w:t>15. Reflection</w:t>
      </w:r>
    </w:p>
    <w:p>
      <w:r>
        <w:t>This task demonstrates that data preparation is a strategic component of logistics analytics. The most important lesson is that cleaning decisions must be connected to the business meaning of the data. A technically simple operation—such as dropping negative quantities—can remove valuable reverse-logistics information if performed without context. Similarly, filling missing customer IDs with a constant may make a table appear complete while creating a false customer.</w:t>
      </w:r>
    </w:p>
    <w:p>
      <w:r>
        <w:t>The proposed pipeline balances data integrity, analytical usability and reproducibility. It creates separate treatment paths for positive demand and returns/cancellations, records missingness rather than hiding it, uses statistical rules for outlier detection, and applies scaling only where downstream methods require it. This provides a reliable foundation for the Week 3 analysis and modeling stages.</w:t>
      </w:r>
    </w:p>
    <w:p>
      <w:pPr>
        <w:pStyle w:val="Heading1"/>
      </w:pPr>
      <w:r>
        <w:t>16. Conclusion</w:t>
      </w:r>
    </w:p>
    <w:p>
      <w:r>
        <w:t>The Week 2 preprocessing plan converts a public retail transaction dataset into a structured, documented and analysis-ready logistics dataset. The process covers collection simulation, profiling, missing-value assessment, duplicate handling, cancellation classification, outlier detection, normalization, validation and export. The resulting workflow is reproducible in Python and can be adapted to real logistics systems.</w:t>
      </w:r>
    </w:p>
    <w:p>
      <w:r>
        <w:t>The cleaned data can now support subsequent work on demand forecasting, inventory analysis, segmentation, delivery-risk modeling and optimization. The central outcome is a trustworthy analytical foundation on which later logistics decisions can be built.</w:t>
      </w:r>
    </w:p>
    <w:p>
      <w:pPr>
        <w:pStyle w:val="Heading1"/>
      </w:pPr>
      <w:r>
        <w:t>17. References and Public Resources</w:t>
      </w:r>
    </w:p>
    <w:p>
      <w:pPr>
        <w:pStyle w:val="ListBullet"/>
      </w:pPr>
      <w:r>
        <w:t>Chen, D. (2015). Online Retail. UCI Machine Learning Repository. DOI: 10.24432/C5BW33.</w:t>
      </w:r>
    </w:p>
    <w:p>
      <w:pPr>
        <w:pStyle w:val="ListBullet"/>
      </w:pPr>
      <w:r>
        <w:t>UCI Machine Learning Repository — Online Retail dataset: https://archive.ics.uci.edu/dataset/352/online%2Bretail</w:t>
      </w:r>
    </w:p>
    <w:p>
      <w:pPr>
        <w:pStyle w:val="ListBullet"/>
      </w:pPr>
      <w:r>
        <w:t>UCI Machine Learning Repository — Online Retail II: https://archive.ics.uci.edu/dataset/502/online%2Bretail</w:t>
      </w:r>
    </w:p>
    <w:p>
      <w:pPr>
        <w:pStyle w:val="ListBullet"/>
      </w:pPr>
      <w:r>
        <w:t>pandas documentation: https://pandas.pydata.org/docs/</w:t>
      </w:r>
    </w:p>
    <w:p>
      <w:pPr>
        <w:pStyle w:val="ListBullet"/>
      </w:pPr>
      <w:r>
        <w:t>scikit-learn preprocessing documentation: https://scikit-learn.org/stable/modules/preprocessing.html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Week 2 • Data Collection, Cleaning &amp; Preprocessing for Logistics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