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1E3A5F"/>
          <w:sz w:val="44"/>
        </w:rPr>
        <w:t>Mansakha (SIH26094) — Additional &amp; Standout Features (Backlog)</w:t>
      </w:r>
    </w:p>
    <w:p>
      <w:r>
        <w:rPr>
          <w:b/>
          <w:color w:val="1A1A1A"/>
          <w:sz w:val="22"/>
        </w:rPr>
        <w:t>Status:</w:t>
      </w:r>
      <w:r>
        <w:rPr>
          <w:b w:val="0"/>
          <w:color w:val="1A1A1A"/>
          <w:sz w:val="22"/>
        </w:rPr>
        <w:t xml:space="preserve"> Not in scope for the current build. The build prompt (</w:t>
      </w:r>
      <w:r>
        <w:rPr>
          <w:rFonts w:ascii="Consolas" w:hAnsi="Consolas"/>
          <w:color w:val="7A2E8E"/>
          <w:sz w:val="21"/>
        </w:rPr>
        <w:t>SIH26094_Build_Prompt.docx</w:t>
      </w:r>
      <w:r>
        <w:rPr>
          <w:b w:val="0"/>
          <w:color w:val="1A1A1A"/>
          <w:sz w:val="22"/>
        </w:rPr>
        <w:t>) covers only the required features — this document is a holding area for everything discussed beyond that, to revisit once the required scope is working end to end.</w:t>
      </w:r>
    </w:p>
    <w:p>
      <w:pPr>
        <w:pStyle w:val="Heading1"/>
      </w:pPr>
      <w:r>
        <w:rPr>
          <w:color w:val="1E40AF"/>
          <w:sz w:val="32"/>
        </w:rPr>
        <w:t>Additional (extends the required build, moderate effort)</w:t>
      </w:r>
    </w:p>
    <w:p>
      <w:pPr>
        <w:pStyle w:val="ListBullet"/>
      </w:pPr>
      <w:r>
        <w:rPr>
          <w:b/>
          <w:color w:val="1A1A1A"/>
          <w:sz w:val="22"/>
        </w:rPr>
        <w:t>Counsellor feedback loop on alerts</w:t>
      </w:r>
      <w:r>
        <w:rPr>
          <w:b w:val="0"/>
          <w:color w:val="1A1A1A"/>
          <w:sz w:val="22"/>
        </w:rPr>
        <w:t xml:space="preserve"> — beyond the existing </w:t>
      </w:r>
      <w:r>
        <w:rPr>
          <w:rFonts w:ascii="Consolas" w:hAnsi="Consolas"/>
          <w:color w:val="7A2E8E"/>
          <w:sz w:val="21"/>
        </w:rPr>
        <w:t>alert_statuses</w:t>
      </w:r>
      <w:r>
        <w:rPr>
          <w:b w:val="0"/>
          <w:color w:val="1A1A1A"/>
          <w:sz w:val="22"/>
        </w:rPr>
        <w:t xml:space="preserve"> (Open/Acknowledged/Resolved), let a counsellor explicitly tag a resolved alert as a </w:t>
      </w:r>
      <w:r>
        <w:rPr>
          <w:b/>
          <w:color w:val="1A1A1A"/>
          <w:sz w:val="22"/>
        </w:rPr>
        <w:t>false positive</w:t>
      </w:r>
      <w:r>
        <w:rPr>
          <w:b w:val="0"/>
          <w:color w:val="1A1A1A"/>
          <w:sz w:val="22"/>
        </w:rPr>
        <w:t>. This is what would let the scoring formula be recalibrated over time instead of staying static — a real feedback mechanism, not just a status field.</w:t>
      </w:r>
    </w:p>
    <w:p>
      <w:pPr>
        <w:pStyle w:val="ListBullet"/>
      </w:pPr>
      <w:r>
        <w:rPr>
          <w:b/>
          <w:color w:val="1A1A1A"/>
          <w:sz w:val="22"/>
        </w:rPr>
        <w:t>Simulated NHAA/Integrated Portal API integration</w:t>
      </w:r>
      <w:r>
        <w:rPr>
          <w:b w:val="0"/>
          <w:color w:val="1A1A1A"/>
          <w:sz w:val="22"/>
        </w:rPr>
        <w:t xml:space="preserve"> — a mock endpoint standing in for a real government API connection, so the architecture visibly supports reusing a case ID from NHAA even though no real integration exists yet.</w:t>
      </w:r>
    </w:p>
    <w:p>
      <w:pPr>
        <w:pStyle w:val="ListBullet"/>
      </w:pPr>
      <w:r>
        <w:rPr>
          <w:b/>
          <w:color w:val="1A1A1A"/>
          <w:sz w:val="22"/>
        </w:rPr>
        <w:t>Per-district/state staff directory view</w:t>
      </w:r>
      <w:r>
        <w:rPr>
          <w:b w:val="0"/>
          <w:color w:val="1A1A1A"/>
          <w:sz w:val="22"/>
        </w:rPr>
        <w:t xml:space="preserve"> — letting Administration see which Counsellors are assigned where, as a precursor to the SOS live-routing feature below (needs to know who's covering what before it can route to them).</w:t>
      </w:r>
    </w:p>
    <w:p>
      <w:pPr>
        <w:pStyle w:val="Heading1"/>
      </w:pPr>
      <w:r>
        <w:rPr>
          <w:color w:val="1E40AF"/>
          <w:sz w:val="32"/>
        </w:rPr>
        <w:t>Standout (bigger differentiators, higher effort, research-backed)</w:t>
      </w:r>
    </w:p>
    <w:p>
      <w:r>
        <w:rPr>
          <w:b w:val="0"/>
          <w:color w:val="1A1A1A"/>
          <w:sz w:val="22"/>
        </w:rPr>
        <w:t>Item 1 below is the flagship pick — it's structurally different from everything else on this list, which are mostly UX/monitoring refinements. It closes the loop between AI detection and a legal remedy victims are already statutorily entitled to, rather than adding another dashboard or alert type.</w:t>
      </w:r>
    </w:p>
    <w:p>
      <w:pPr>
        <w:pStyle w:val="Heading2"/>
      </w:pPr>
      <w:r>
        <w:rPr>
          <w:color w:val="1E3A5F"/>
          <w:sz w:val="26"/>
        </w:rPr>
        <w:t>1. ★ Flagship — Statutory Protection Auto-Trigger (Section 15A)</w:t>
      </w:r>
    </w:p>
    <w:p>
      <w:r>
        <w:rPr>
          <w:b w:val="0"/>
          <w:color w:val="1A1A1A"/>
          <w:sz w:val="22"/>
        </w:rPr>
        <w:t>Section 15A of the SC/ST (Prevention of Atrocities) Act (inserted 2016) obligates every State to run a Victim and Witness Protection Scheme — covering protection against intimidation, coercion, inducement, violence or threats of violence, plus relief and support — for exactly the population this PS is built for. In practice this exists on paper and depends entirely on someone noticing risk and manually filing for it.</w:t>
      </w:r>
    </w:p>
    <w:p>
      <w:r>
        <w:rPr>
          <w:b w:val="0"/>
          <w:color w:val="1A1A1A"/>
          <w:sz w:val="22"/>
        </w:rPr>
        <w:t xml:space="preserve">When the AI Risk Engine classifies a case as </w:t>
      </w:r>
      <w:r>
        <w:rPr>
          <w:b/>
          <w:color w:val="1A1A1A"/>
          <w:sz w:val="22"/>
        </w:rPr>
        <w:t>Critical</w:t>
      </w:r>
      <w:r>
        <w:rPr>
          <w:b w:val="0"/>
          <w:color w:val="1A1A1A"/>
          <w:sz w:val="22"/>
        </w:rPr>
        <w:t xml:space="preserve"> — and especially when the signal is a </w:t>
      </w:r>
      <w:r>
        <w:rPr>
          <w:b/>
          <w:color w:val="1A1A1A"/>
          <w:sz w:val="22"/>
        </w:rPr>
        <w:t>coordinated distress spike across multiple victims/witnesses tied to the same case or the same accused</w:t>
      </w:r>
      <w:r>
        <w:rPr>
          <w:b w:val="0"/>
          <w:color w:val="1A1A1A"/>
          <w:sz w:val="22"/>
        </w:rPr>
        <w:t xml:space="preserve"> (a pattern an isolated single-victim monitoring tool structurally cannot see, and itself strong evidence of intimidation under the Act) — the system auto-drafts a pre-filled Section 15A protection request: victim/case ID, the distress score and trend, the specific contributing signals, a timestamped evidence trail pulled straight from </w:t>
      </w:r>
      <w:r>
        <w:rPr>
          <w:rFonts w:ascii="Consolas" w:hAnsi="Consolas"/>
          <w:color w:val="7A2E8E"/>
          <w:sz w:val="21"/>
        </w:rPr>
        <w:t>distress_scores</w:t>
      </w:r>
      <w:r>
        <w:rPr>
          <w:b w:val="0"/>
          <w:color w:val="1A1A1A"/>
          <w:sz w:val="22"/>
        </w:rPr>
        <w:t>/</w:t>
      </w:r>
      <w:r>
        <w:rPr>
          <w:rFonts w:ascii="Consolas" w:hAnsi="Consolas"/>
          <w:color w:val="7A2E8E"/>
          <w:sz w:val="21"/>
        </w:rPr>
        <w:t>interaction_signals</w:t>
      </w:r>
      <w:r>
        <w:rPr>
          <w:b w:val="0"/>
          <w:color w:val="1A1A1A"/>
          <w:sz w:val="22"/>
        </w:rPr>
        <w:t>/</w:t>
      </w:r>
      <w:r>
        <w:rPr>
          <w:rFonts w:ascii="Consolas" w:hAnsi="Consolas"/>
          <w:color w:val="7A2E8E"/>
          <w:sz w:val="21"/>
        </w:rPr>
        <w:t>alerts</w:t>
      </w:r>
      <w:r>
        <w:rPr>
          <w:b w:val="0"/>
          <w:color w:val="1A1A1A"/>
          <w:sz w:val="22"/>
        </w:rPr>
        <w:t>. It's routed to the Protection Officer/District Magistrate for one-tap review-and-approve inside the app, instead of dead-ending at a dashboard tile a counsellor has to know what to do with.</w:t>
      </w:r>
    </w:p>
    <w:p>
      <w:r>
        <w:rPr>
          <w:b w:val="0"/>
          <w:color w:val="1A1A1A"/>
          <w:sz w:val="22"/>
        </w:rPr>
        <w:t xml:space="preserve">Why this stands out: every competing team will build sentiment scoring plus a risk dashboard. Almost none will have read the Act closely enough to wire AI output directly into the statutory remedy it already maps to — that's a domain-understanding signal, not just a tech one. Needs: </w:t>
      </w:r>
      <w:r>
        <w:rPr>
          <w:rFonts w:ascii="Consolas" w:hAnsi="Consolas"/>
          <w:color w:val="7A2E8E"/>
          <w:sz w:val="21"/>
        </w:rPr>
        <w:t>protection_requests</w:t>
      </w:r>
      <w:r>
        <w:rPr>
          <w:b w:val="0"/>
          <w:color w:val="1A1A1A"/>
          <w:sz w:val="22"/>
        </w:rPr>
        <w:t xml:space="preserve"> table (</w:t>
      </w:r>
      <w:r>
        <w:rPr>
          <w:rFonts w:ascii="Consolas" w:hAnsi="Consolas"/>
          <w:color w:val="7A2E8E"/>
          <w:sz w:val="21"/>
        </w:rPr>
        <w:t>victim_id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case_id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status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evidence_snapshot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requested_at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approved_by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approved_at</w:t>
      </w:r>
      <w:r>
        <w:rPr>
          <w:b w:val="0"/>
          <w:color w:val="1A1A1A"/>
          <w:sz w:val="22"/>
        </w:rPr>
        <w:t xml:space="preserve">), a Protection Officer/District Magistrate routing target (can reuse the </w:t>
      </w:r>
      <w:r>
        <w:rPr>
          <w:rFonts w:ascii="Consolas" w:hAnsi="Consolas"/>
          <w:color w:val="7A2E8E"/>
          <w:sz w:val="21"/>
        </w:rPr>
        <w:t>officials</w:t>
      </w:r>
      <w:r>
        <w:rPr>
          <w:b w:val="0"/>
          <w:color w:val="1A1A1A"/>
          <w:sz w:val="22"/>
        </w:rPr>
        <w:t xml:space="preserve">/jurisdiction model), a cross-victim correlation query (distress spikes grouped by shared </w:t>
      </w:r>
      <w:r>
        <w:rPr>
          <w:rFonts w:ascii="Consolas" w:hAnsi="Consolas"/>
          <w:color w:val="7A2E8E"/>
          <w:sz w:val="21"/>
        </w:rPr>
        <w:t>case_id</w:t>
      </w:r>
      <w:r>
        <w:rPr>
          <w:b w:val="0"/>
          <w:color w:val="1A1A1A"/>
          <w:sz w:val="22"/>
        </w:rPr>
        <w:t>/accused reference within a rolling time window) to detect the coordinated-intimidation trigger condition. Source: [Section 15A — SC/ST (Prevention of Atrocities) Act, 1989](https://indiankanoon.org/doc/20559273/), [CLPR — Protecting the Rights of Victims &amp; Witnesses in Caste-Based Atrocities](https://clpr.org.in/blog/protecting-the-rights-of-victims-witnesses-in-caste-based-atrocities/)</w:t>
      </w:r>
    </w:p>
    <w:p>
      <w:pPr>
        <w:pStyle w:val="Heading2"/>
      </w:pPr>
      <w:r>
        <w:rPr>
          <w:color w:val="1E3A5F"/>
          <w:sz w:val="26"/>
        </w:rPr>
        <w:t>2. SOS → live counsellor connect, with a real fallback</w:t>
      </w:r>
    </w:p>
    <w:p>
      <w:r>
        <w:rPr>
          <w:b w:val="0"/>
          <w:color w:val="1A1A1A"/>
          <w:sz w:val="22"/>
        </w:rPr>
        <w:t xml:space="preserve">Victim taps SOS → system checks if an assigned/nearby Counsellor is currently online → if yes, connects in real time (live chat via Supabase Realtime, or click-to-call via Exotel) → </w:t>
      </w:r>
      <w:r>
        <w:rPr>
          <w:b/>
          <w:color w:val="1A1A1A"/>
          <w:sz w:val="22"/>
        </w:rPr>
        <w:t>if no counsellor is online, falls back to a direct connect/dial to NHAA (14566)</w:t>
      </w:r>
      <w:r>
        <w:rPr>
          <w:b w:val="0"/>
          <w:color w:val="1A1A1A"/>
          <w:sz w:val="22"/>
        </w:rPr>
        <w:t xml:space="preserve"> rather than pretending we can guarantee 24/7 coverage ourselves. An alert still fires to the counsellor's dashboard either way, so there's a persistent record even when the live connection went through NHAA. Needs: </w:t>
      </w:r>
      <w:r>
        <w:rPr>
          <w:rFonts w:ascii="Consolas" w:hAnsi="Consolas"/>
          <w:color w:val="7A2E8E"/>
          <w:sz w:val="21"/>
        </w:rPr>
        <w:t>online_status</w:t>
      </w:r>
      <w:r>
        <w:rPr>
          <w:b w:val="0"/>
          <w:color w:val="1A1A1A"/>
          <w:sz w:val="22"/>
        </w:rPr>
        <w:t xml:space="preserve"> on </w:t>
      </w:r>
      <w:r>
        <w:rPr>
          <w:rFonts w:ascii="Consolas" w:hAnsi="Consolas"/>
          <w:color w:val="7A2E8E"/>
          <w:sz w:val="21"/>
        </w:rPr>
        <w:t>officials</w:t>
      </w:r>
      <w:r>
        <w:rPr>
          <w:b w:val="0"/>
          <w:color w:val="1A1A1A"/>
          <w:sz w:val="22"/>
        </w:rPr>
        <w:t>, a live-connect screen, Exotel click-to-call integration.</w:t>
      </w:r>
    </w:p>
    <w:p>
      <w:pPr>
        <w:pStyle w:val="Heading2"/>
      </w:pPr>
      <w:r>
        <w:rPr>
          <w:color w:val="1E3A5F"/>
          <w:sz w:val="26"/>
        </w:rPr>
        <w:t>3. Quick-exit / discreet mode</w:t>
      </w:r>
    </w:p>
    <w:p>
      <w:r>
        <w:rPr>
          <w:b w:val="0"/>
          <w:color w:val="1A1A1A"/>
          <w:sz w:val="22"/>
        </w:rPr>
        <w:t>A victim whose device may be monitored by an abuser, family member, or intimidator needs a way to instantly hide what they're doing. A one-tap "exit" that jumps to a neutral screen, an app icon that doesn't visually read as a mental-health app, and clearing recent notification traces. Directly maps to the PS's own named priority cases (witnesses facing intimidation, rape/gang-rape victims) — this isn't a generic nice-to-have, it's aimed at exactly the population the PS names. Source: [ACM — Evaluating Quick Exit Buttons](https://dl.acm.org/doi/fullHtml/10.1145/3544548.3581078), [Tech Safety / DV Safety Net Project](https://www.techsafety.org/exit-from-this-website-quickly)</w:t>
      </w:r>
    </w:p>
    <w:p>
      <w:pPr>
        <w:pStyle w:val="Heading2"/>
      </w:pPr>
      <w:r>
        <w:rPr>
          <w:color w:val="1E3A5F"/>
          <w:sz w:val="26"/>
        </w:rPr>
        <w:t>4. Keyword-based safety-net escalation</w:t>
      </w:r>
    </w:p>
    <w:p>
      <w:r>
        <w:rPr>
          <w:b w:val="0"/>
          <w:color w:val="1A1A1A"/>
          <w:sz w:val="22"/>
        </w:rPr>
        <w:t>Independent of the ML distress score, a lightweight watchlist (self-harm language, explicit threat mentions) that triggers immediate escalation regardless of what the computed score says. Real domestic-violence survivors specifically asked for this in research as a top AI capability — a cheap, explainable safety net that doesn't depend on the scoring pipeline being perfect. Source: [PMC — DV survivor perspectives on AI chatbots](https://pmc.ncbi.nlm.nih.gov/articles/PMC12928437/)</w:t>
      </w:r>
    </w:p>
    <w:p>
      <w:pPr>
        <w:pStyle w:val="Heading2"/>
      </w:pPr>
      <w:r>
        <w:rPr>
          <w:color w:val="1E3A5F"/>
          <w:sz w:val="26"/>
        </w:rPr>
        <w:t>5. Trauma-informed pacing control</w:t>
      </w:r>
    </w:p>
    <w:p>
      <w:r>
        <w:rPr>
          <w:b w:val="0"/>
          <w:color w:val="1A1A1A"/>
          <w:sz w:val="22"/>
        </w:rPr>
        <w:t>A "skip this / I don't want to answer right now" option on any check-in question, instead of forcing linear completion. Grounded in trauma-informed care's core principle of empowerment/control, not just a UX nicety.</w:t>
      </w:r>
    </w:p>
    <w:p>
      <w:pPr>
        <w:pStyle w:val="Heading2"/>
      </w:pPr>
      <w:r>
        <w:rPr>
          <w:color w:val="1E3A5F"/>
          <w:sz w:val="26"/>
        </w:rPr>
        <w:t>6. SOS with optional trusted-contact notification</w:t>
      </w:r>
    </w:p>
    <w:p>
      <w:r>
        <w:rPr>
          <w:b w:val="0"/>
          <w:color w:val="1A1A1A"/>
          <w:sz w:val="22"/>
        </w:rPr>
        <w:t>Modeled on existing panic-button apps — a Critical-risk SOS event can optionally also notify a pre-designated trusted contact with location, the way standalone panic-button apps already do. Source: [Red Panic Button](https://www.redpanicbutton.com/)</w:t>
      </w:r>
    </w:p>
    <w:p>
      <w:pPr>
        <w:pStyle w:val="Heading2"/>
      </w:pPr>
      <w:r>
        <w:rPr>
          <w:color w:val="1E3A5F"/>
          <w:sz w:val="26"/>
        </w:rPr>
        <w:t>7. Disengagement-as-signal</w:t>
      </w:r>
    </w:p>
    <w:p>
      <w:r>
        <w:rPr>
          <w:b w:val="0"/>
          <w:color w:val="1A1A1A"/>
          <w:sz w:val="22"/>
        </w:rPr>
        <w:t>Flag a victim going silent/unresponsive after a high-risk contact as its own risk signal, not only active distress. This isn't just a clever idea — disengagement from mental-health services is a studied predictor of crisis in early-intervention clinical literature. Source: [PMC — Disengagement from early psychosis services](https://pmc.ncbi.nlm.nih.gov/articles/PMC11205872/)</w:t>
      </w:r>
    </w:p>
    <w:p>
      <w:pPr>
        <w:pStyle w:val="Heading2"/>
      </w:pPr>
      <w:r>
        <w:rPr>
          <w:color w:val="1E3A5F"/>
          <w:sz w:val="26"/>
        </w:rPr>
        <w:t>8. Case-timeline correlation</w:t>
      </w:r>
    </w:p>
    <w:p>
      <w:r>
        <w:rPr>
          <w:b w:val="0"/>
          <w:color w:val="1A1A1A"/>
          <w:sz w:val="22"/>
        </w:rPr>
        <w:t>Overlay distress-score spikes against the victim's actual legal case events — hearing dates, bail status changes, chargesheet delays. No existing system (Tele-MANAS, NHAA, or global crisis-AI tools) does this. The single most technically novel piece on this list, and the most work — needs case-event data that may not be readily available via any real API.</w:t>
      </w:r>
    </w:p>
    <w:p>
      <w:pPr>
        <w:pStyle w:val="Heading2"/>
      </w:pPr>
      <w:r>
        <w:rPr>
          <w:color w:val="1E3A5F"/>
          <w:sz w:val="26"/>
        </w:rPr>
        <w:t>9. Counsellor AI copilot</w:t>
      </w:r>
    </w:p>
    <w:p>
      <w:r>
        <w:rPr>
          <w:b w:val="0"/>
          <w:color w:val="1A1A1A"/>
          <w:sz w:val="22"/>
        </w:rPr>
        <w:t>Auto-drafted case notes after each counsellor interaction, for the counsellor to review and edit before saving — reduces documentation burden, and reframes the pitch as solving a real problem for staff, not just for victims.</w:t>
      </w:r>
    </w:p>
    <w:p>
      <w:pPr>
        <w:pStyle w:val="Heading2"/>
      </w:pPr>
      <w:r>
        <w:rPr>
          <w:color w:val="1E3A5F"/>
          <w:sz w:val="26"/>
        </w:rPr>
        <w:t>10. Explainability shown, not just claimed</w:t>
      </w:r>
    </w:p>
    <w:p>
      <w:r>
        <w:rPr>
          <w:b w:val="0"/>
          <w:color w:val="1A1A1A"/>
          <w:sz w:val="22"/>
        </w:rPr>
        <w:t>The required build already has an "explainable risk report" — the standout version is a real UI that visually highlights which words/transcript spans/voice-stress cues actually drove a given score, rather than a report that just states a conclusion. Nearly every competing team will claim explainability; very few will actually show the mechanism.</w:t>
      </w:r>
    </w:p>
    <w:p>
      <w:pPr>
        <w:pStyle w:val="Heading1"/>
      </w:pPr>
      <w:r>
        <w:rPr>
          <w:color w:val="1E40AF"/>
          <w:sz w:val="32"/>
        </w:rPr>
        <w:t>Suggested order to revisit these (once required scope is done)</w:t>
      </w:r>
    </w:p>
    <w:p>
      <w:pPr>
        <w:ind w:left="360"/>
      </w:pPr>
      <w:r>
        <w:rPr>
          <w:b/>
        </w:rPr>
        <w:t xml:space="preserve">1. </w:t>
      </w:r>
      <w:r>
        <w:rPr>
          <w:b/>
          <w:color w:val="1A1A1A"/>
          <w:sz w:val="22"/>
        </w:rPr>
        <w:t>Statutory Protection Auto-Trigger (flagship)</w:t>
      </w:r>
      <w:r>
        <w:rPr>
          <w:b w:val="0"/>
          <w:color w:val="1A1A1A"/>
          <w:sz w:val="22"/>
        </w:rPr>
        <w:t xml:space="preserve"> — build this first if only one standout item makes it in; it's the one that changes the pitch, not just the demo</w:t>
      </w:r>
    </w:p>
    <w:p>
      <w:pPr>
        <w:ind w:left="360"/>
      </w:pPr>
      <w:r>
        <w:rPr>
          <w:b/>
        </w:rPr>
        <w:t xml:space="preserve">2. </w:t>
      </w:r>
      <w:r>
        <w:rPr>
          <w:b w:val="0"/>
          <w:color w:val="1A1A1A"/>
          <w:sz w:val="22"/>
        </w:rPr>
        <w:t>Quick-exit / discreet mode and keyword-based safety-net escalation — cheapest, most directly tied to the PS's named victim populations</w:t>
      </w:r>
    </w:p>
    <w:p>
      <w:pPr>
        <w:ind w:left="360"/>
      </w:pPr>
      <w:r>
        <w:rPr>
          <w:b/>
        </w:rPr>
        <w:t xml:space="preserve">3. </w:t>
      </w:r>
      <w:r>
        <w:rPr>
          <w:b w:val="0"/>
          <w:color w:val="1A1A1A"/>
          <w:sz w:val="22"/>
        </w:rPr>
        <w:t>Counsellor feedback loop — small addition, meaningfully strengthens the "the system improves over time" story</w:t>
      </w:r>
    </w:p>
    <w:p>
      <w:pPr>
        <w:ind w:left="360"/>
      </w:pPr>
      <w:r>
        <w:rPr>
          <w:b/>
        </w:rPr>
        <w:t xml:space="preserve">4. </w:t>
      </w:r>
      <w:r>
        <w:rPr>
          <w:b w:val="0"/>
          <w:color w:val="1A1A1A"/>
          <w:sz w:val="22"/>
        </w:rPr>
        <w:t>SOS → live connect with NHAA fallback — more moving parts (presence tracking, Exotel click-to-call) but a strong demo moment</w:t>
      </w:r>
    </w:p>
    <w:p>
      <w:pPr>
        <w:ind w:left="360"/>
      </w:pPr>
      <w:r>
        <w:rPr>
          <w:b/>
        </w:rPr>
        <w:t xml:space="preserve">5. </w:t>
      </w:r>
      <w:r>
        <w:rPr>
          <w:b w:val="0"/>
          <w:color w:val="1A1A1A"/>
          <w:sz w:val="22"/>
        </w:rPr>
        <w:t>Explainability shown visually, trauma-informed pacing control, disengagement signal — polish/depth items</w:t>
      </w:r>
    </w:p>
    <w:p>
      <w:pPr>
        <w:ind w:left="360"/>
      </w:pPr>
      <w:r>
        <w:rPr>
          <w:b/>
        </w:rPr>
        <w:t xml:space="preserve">6. </w:t>
      </w:r>
      <w:r>
        <w:rPr>
          <w:b w:val="0"/>
          <w:color w:val="1A1A1A"/>
          <w:sz w:val="22"/>
        </w:rPr>
        <w:t>Case-timeline correlation, counsellor AI copilot — highest effort, do only if time remains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