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5A80"/>
          <w:sz w:val="56"/>
        </w:rPr>
        <w:t>Multi-Case-Per-Person Support</w:t>
      </w:r>
    </w:p>
    <w:p>
      <w:pPr>
        <w:jc w:val="center"/>
      </w:pPr>
      <w:r>
        <w:rPr>
          <w:color w:val="5B6472"/>
          <w:sz w:val="28"/>
        </w:rPr>
        <w:t>Data Operator Case Linking — Mansakha</w:t>
      </w:r>
    </w:p>
    <w:p>
      <w:pPr>
        <w:jc w:val="center"/>
      </w:pPr>
      <w:r>
        <w:rPr>
          <w:i/>
          <w:color w:val="5B6472"/>
          <w:sz w:val="20"/>
        </w:rPr>
        <w:t>AI-Based Dynamic Mental Health Monitoring and Distress Prediction System</w:t>
      </w:r>
    </w:p>
    <w:p/>
    <w:p>
      <w:pPr>
        <w:pStyle w:val="Heading1"/>
      </w:pPr>
      <w:r>
        <w:rPr>
          <w:rFonts w:ascii="Calibri" w:hAnsi="Calibri"/>
          <w:color w:val="3D5A80"/>
        </w:rPr>
        <w:t>The Problem</w:t>
      </w:r>
    </w:p>
    <w:p>
      <w:pPr>
        <w:spacing w:after="160"/>
      </w:pPr>
      <w:r>
        <w:rPr>
          <w:b w:val="0"/>
          <w:i w:val="0"/>
          <w:sz w:val="22"/>
        </w:rPr>
        <w:t>A victim can file more than one legal case over time — different docket numbers, sometimes different districts, sometimes months apart. Until now, the system had no way to recognize this: it would require a second, fully disconnected login, a second distress-score history, and possibly a second, uncoordinated counsellor. For an app whose entire purpose is monitoring a person's mental health, that fragmentation is a real clinical risk.</w:t>
      </w:r>
    </w:p>
    <w:p>
      <w:pPr>
        <w:pStyle w:val="Heading1"/>
      </w:pPr>
      <w:r>
        <w:rPr>
          <w:rFonts w:ascii="Calibri" w:hAnsi="Calibri"/>
          <w:color w:val="3D5A80"/>
        </w:rPr>
        <w:t>1. The Core Model: Anchor and Dependent</w:t>
      </w:r>
    </w:p>
    <w:p>
      <w:pPr>
        <w:spacing w:after="160"/>
      </w:pPr>
      <w:r>
        <w:rPr>
          <w:b w:val="0"/>
          <w:i w:val="0"/>
          <w:sz w:val="22"/>
        </w:rPr>
        <w:t>One new column, users.linked_to_user_id, is added to the schema. A case with this column set is a "dependent" case — it points at another case, the "anchor". Both cases keep their own docket number, case type, legal stage, and jurisdiction. What is shared is everything about the person's actual wellbeing: their check-ins, their chat thread, and their counsellor, which all live once, on the anchor.</w:t>
      </w:r>
    </w:p>
    <w:p>
      <w:pPr>
        <w:ind w:left="432"/>
      </w:pPr>
      <w:r>
        <w:rPr>
          <w:rFonts w:ascii="Consolas" w:hAnsi="Consolas"/>
          <w:color w:val="444444"/>
          <w:sz w:val="20"/>
        </w:rPr>
        <w:t>Docket 1 (Pravin, Arson)   &lt;-- ANCHOR</w:t>
      </w:r>
    </w:p>
    <w:p>
      <w:pPr>
        <w:ind w:left="432"/>
      </w:pPr>
      <w:r>
        <w:rPr>
          <w:rFonts w:ascii="Consolas" w:hAnsi="Consolas"/>
          <w:color w:val="444444"/>
          <w:sz w:val="20"/>
        </w:rPr>
        <w:t xml:space="preserve">      ^</w:t>
      </w:r>
    </w:p>
    <w:p>
      <w:pPr>
        <w:ind w:left="432"/>
      </w:pPr>
      <w:r>
        <w:rPr>
          <w:rFonts w:ascii="Consolas" w:hAnsi="Consolas"/>
          <w:color w:val="444444"/>
          <w:sz w:val="20"/>
        </w:rPr>
        <w:t xml:space="preserve">      | linked_to_user_id</w:t>
      </w:r>
    </w:p>
    <w:p>
      <w:pPr>
        <w:ind w:left="432"/>
      </w:pPr>
      <w:r>
        <w:rPr>
          <w:rFonts w:ascii="Consolas" w:hAnsi="Consolas"/>
          <w:color w:val="444444"/>
          <w:sz w:val="20"/>
        </w:rPr>
        <w:t xml:space="preserve">      |</w:t>
      </w:r>
    </w:p>
    <w:p>
      <w:pPr>
        <w:ind w:left="432"/>
      </w:pPr>
      <w:r>
        <w:rPr>
          <w:rFonts w:ascii="Consolas" w:hAnsi="Consolas"/>
          <w:color w:val="444444"/>
          <w:sz w:val="20"/>
        </w:rPr>
        <w:t>Docket 2 (Pravin, Rape)    &lt;-- DEPENDENT</w:t>
      </w:r>
    </w:p>
    <w:p>
      <w:pPr>
        <w:spacing w:after="160"/>
      </w:pPr>
      <w:r>
        <w:rPr>
          <w:b w:val="0"/>
          <w:i/>
          <w:color w:val="5B6472"/>
          <w:sz w:val="20"/>
        </w:rPr>
        <w:t>This mirrors a self-referencing pattern already used elsewhere in this schema (jurisdictions.parent_id), so it required no restructuring of the users or user_identity tables.</w:t>
      </w:r>
    </w:p>
    <w:p>
      <w:pPr>
        <w:pStyle w:val="Heading1"/>
      </w:pPr>
      <w:r>
        <w:rPr>
          <w:rFonts w:ascii="Calibri" w:hAnsi="Calibri"/>
          <w:color w:val="3D5A80"/>
        </w:rPr>
        <w:t>2. Login Always Resolves to the Anchor</w:t>
      </w:r>
    </w:p>
    <w:p>
      <w:pPr>
        <w:spacing w:after="160"/>
      </w:pPr>
      <w:r>
        <w:rPr>
          <w:b w:val="0"/>
          <w:i w:val="0"/>
          <w:sz w:val="22"/>
        </w:rPr>
        <w:t>Whichever docket the person logs in with, the JWT issued always carries the ANCHOR's user_id. This is the mechanism that makes the whole feature work with almost no other code changes: every existing mobile route (dashboard, check-in, chat, journal) already reads req.auth.userId as a bare value with no docket-specific branching, so resolving identity once at login makes all of those routes person-level automatically.</w:t>
      </w:r>
    </w:p>
    <w:p>
      <w:pPr>
        <w:pStyle w:val="ListBullet"/>
      </w:pPr>
      <w:r>
        <w:t>The first login on a newly-linked docket uses that docket's own temporary password and forces a change, exactly like any brand-new case.</w:t>
      </w:r>
    </w:p>
    <w:p>
      <w:pPr>
        <w:pStyle w:val="ListBullet"/>
      </w:pPr>
      <w:r>
        <w:t>From then on, changing the password writes the new hash to every row where user_id = anchor OR linked_to_user_id = anchor — one shared password across every docket the person has.</w:t>
      </w:r>
    </w:p>
    <w:p>
      <w:pPr>
        <w:pStyle w:val="Heading1"/>
      </w:pPr>
      <w:r>
        <w:rPr>
          <w:rFonts w:ascii="Calibri" w:hAnsi="Calibri"/>
          <w:color w:val="3D5A80"/>
        </w:rPr>
        <w:t>3. What Resolves Through the Anchor, and What Stays Put</w:t>
      </w:r>
    </w:p>
    <w:p>
      <w:pPr>
        <w:spacing w:after="160"/>
      </w:pPr>
      <w:r>
        <w:rPr>
          <w:b w:val="0"/>
          <w:i w:val="0"/>
          <w:sz w:val="22"/>
        </w:rPr>
        <w:t>This is the single rule the whole feature turns on. Getting this right means nearly every existing screen behaves correctly for a linked case with no further changes.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5A80"/>
          </w:tcPr>
          <w:p>
            <w:r>
              <w:rPr>
                <w:b/>
                <w:color w:val="FFFFFF"/>
              </w:rPr>
              <w:t>Resolves through the anchor (shared)</w:t>
            </w:r>
          </w:p>
        </w:tc>
        <w:tc>
          <w:tcPr>
            <w:tcW w:type="dxa" w:w="4320"/>
            <w:shd w:val="clear" w:color="auto" w:fill="3D5A80"/>
          </w:tcPr>
          <w:p>
            <w:r>
              <w:rPr>
                <w:b/>
                <w:color w:val="FFFFFF"/>
              </w:rPr>
              <w:t>Stays on this one case (independent)</w:t>
            </w:r>
          </w:p>
        </w:tc>
      </w:tr>
      <w:tr>
        <w:tc>
          <w:tcPr>
            <w:tcW w:type="dxa" w:w="4320"/>
          </w:tcPr>
          <w:p>
            <w:r>
              <w:t>Distress scores &amp; check-in history</w:t>
            </w:r>
          </w:p>
        </w:tc>
        <w:tc>
          <w:tcPr>
            <w:tcW w:type="dxa" w:w="4320"/>
          </w:tcPr>
          <w:p>
            <w:r>
              <w:t>Docket number</w:t>
            </w:r>
          </w:p>
        </w:tc>
      </w:tr>
      <w:tr>
        <w:tc>
          <w:tcPr>
            <w:tcW w:type="dxa" w:w="4320"/>
          </w:tcPr>
          <w:p>
            <w:r>
              <w:t>Chat messages &amp; typing status</w:t>
            </w:r>
          </w:p>
        </w:tc>
        <w:tc>
          <w:tcPr>
            <w:tcW w:type="dxa" w:w="4320"/>
          </w:tcPr>
          <w:p>
            <w:r>
              <w:t>Case type &amp; legal stage</w:t>
            </w:r>
          </w:p>
        </w:tc>
      </w:tr>
      <w:tr>
        <w:tc>
          <w:tcPr>
            <w:tcW w:type="dxa" w:w="4320"/>
          </w:tcPr>
          <w:p>
            <w:r>
              <w:t>Assigned counsellor</w:t>
            </w:r>
          </w:p>
        </w:tc>
        <w:tc>
          <w:tcPr>
            <w:tcW w:type="dxa" w:w="4320"/>
          </w:tcPr>
          <w:p>
            <w:r>
              <w:t>Jurisdiction</w:t>
            </w:r>
          </w:p>
        </w:tc>
      </w:tr>
      <w:tr>
        <w:tc>
          <w:tcPr>
            <w:tcW w:type="dxa" w:w="4320"/>
          </w:tcPr>
          <w:p>
            <w:r>
              <w:t>Manual-counsellor opt-in</w:t>
            </w:r>
          </w:p>
        </w:tc>
        <w:tc>
          <w:tcPr>
            <w:tcW w:type="dxa" w:w="4320"/>
          </w:tcPr>
          <w:p>
            <w:r>
              <w:t>Case notes &amp; interventions</w:t>
            </w:r>
          </w:p>
        </w:tc>
      </w:tr>
      <w:tr>
        <w:tc>
          <w:tcPr>
            <w:tcW w:type="dxa" w:w="4320"/>
          </w:tcPr>
          <w:p>
            <w:r>
              <w:t>Login password</w:t>
            </w:r>
          </w:p>
        </w:tc>
        <w:tc>
          <w:tcPr>
            <w:tcW w:type="dxa" w:w="4320"/>
          </w:tcPr>
          <w:p>
            <w:r>
              <w:t>Scheduled counselling sessions</w:t>
            </w:r>
          </w:p>
        </w:tc>
      </w:tr>
    </w:tbl>
    <w:p/>
    <w:p>
      <w:pPr>
        <w:spacing w:after="160"/>
      </w:pPr>
      <w:r>
        <w:rPr>
          <w:b w:val="0"/>
          <w:i w:val="0"/>
          <w:sz w:val="22"/>
        </w:rPr>
        <w:t>Mechanically: every counsellor/admin query that used to read WHERE user_id = :userId now reads WHERE user_id = coalesce(linked_to_user_id, user_id) for the shared tables above. Case notes, interventions and scheduled sessions deliberately keep the literal case id — a freshly linked case correctly starts with none of its own, the same way any brand-new case would.</w:t>
      </w:r>
    </w:p>
    <w:p>
      <w:pPr>
        <w:spacing w:after="160"/>
      </w:pPr>
      <w:r>
        <w:rPr>
          <w:b w:val="0"/>
          <w:i/>
          <w:color w:val="5B6472"/>
          <w:sz w:val="20"/>
        </w:rPr>
        <w:t>One nuance: anything that COUNTS cases (workload, case-volume) stays per-case on purpose — a person with 2 linked cases correctly counts as 2 toward a counsellor's load. But anything that AVERAGES or TRENDS across cases (an efficacy score, an escalation prediction) had to specifically avoid resolving through the anchor, or a linked person's one real trend would be counted twice.</w:t>
      </w:r>
    </w:p>
    <w:p>
      <w:pPr>
        <w:pStyle w:val="Heading1"/>
      </w:pPr>
      <w:r>
        <w:rPr>
          <w:rFonts w:ascii="Calibri" w:hAnsi="Calibri"/>
          <w:color w:val="3D5A80"/>
        </w:rPr>
        <w:t>4. Data Operator's Workflow: Recognizing It's the Same Person</w:t>
      </w:r>
    </w:p>
    <w:p>
      <w:pPr>
        <w:spacing w:after="160"/>
      </w:pPr>
      <w:r>
        <w:rPr>
          <w:b w:val="0"/>
          <w:i w:val="0"/>
          <w:sz w:val="22"/>
        </w:rPr>
        <w:t>Aadhaar number is the matching key, collected once as part of normal intake and checked automatically from then on.</w:t>
      </w:r>
    </w:p>
    <w:p>
      <w:pPr>
        <w:pStyle w:val="ListBullet"/>
      </w:pPr>
      <w:r>
        <w:rPr>
          <w:b/>
        </w:rPr>
        <w:t xml:space="preserve">Path A — </w:t>
      </w:r>
      <w:r>
        <w:t>Fetch Case Details generates a suggested Aadhaar number and checks it against existing cases. A match shows a banner — "Matches Docket 1, Pravin — link instead?" — leading straight into the Link Cases page.</w:t>
      </w:r>
    </w:p>
    <w:p>
      <w:pPr>
        <w:pStyle w:val="ListBullet"/>
      </w:pPr>
      <w:r>
        <w:rPr>
          <w:b/>
        </w:rPr>
        <w:t xml:space="preserve">Path B — Already registered separately: </w:t>
      </w:r>
      <w:r>
        <w:t>the operator opens the Users list, chooses "Link to existing person", and searches for the match. This is blocked with a 409 error if the target case already has real check-ins or messages of its own — only an empty, unused case can be merged after the fact, since linking would otherwise make its real history unreachable.</w:t>
      </w:r>
    </w:p>
    <w:p>
      <w:pPr>
        <w:spacing w:after="160"/>
      </w:pPr>
      <w:r>
        <w:rPr>
          <w:b w:val="0"/>
          <w:i w:val="0"/>
          <w:sz w:val="22"/>
        </w:rPr>
        <w:t>Both paths end the same way: the case gets linked_to_user_id set, inherits the anchor's assigned counsellor, and immediately shares their check-in history.</w:t>
      </w:r>
    </w:p>
    <w:p>
      <w:pPr>
        <w:pStyle w:val="Heading1"/>
      </w:pPr>
      <w:r>
        <w:rPr>
          <w:rFonts w:ascii="Calibri" w:hAnsi="Calibri"/>
          <w:color w:val="3D5A80"/>
        </w:rPr>
        <w:t>5. Verified End-to-End: Pravin's Test Case</w:t>
      </w:r>
    </w:p>
    <w:p>
      <w:pPr>
        <w:pStyle w:val="ListBullet"/>
      </w:pPr>
      <w:r>
        <w:t>Docket 1 (Arson, Porbandar) — Pravin's original, active case with real check-in history and an assigned counsellor.</w:t>
      </w:r>
    </w:p>
    <w:p>
      <w:pPr>
        <w:pStyle w:val="ListBullet"/>
      </w:pPr>
      <w:r>
        <w:t>Docket 2 (Rape, Ballia) — registered later, linked via a matching Aadhaar number, with zero check-ins of its own.</w:t>
      </w:r>
    </w:p>
    <w:p>
      <w:pPr>
        <w:pStyle w:val="ListBullet"/>
      </w:pPr>
      <w:r>
        <w:t>Counsellor opening Case Detail for Docket 2 correctly sees Pravin's full real distress trend, contributing signals and case background — not a 404 — plus a "Linked Cases" panel pointing back to Docket 1.</w:t>
      </w:r>
    </w:p>
    <w:p>
      <w:pPr>
        <w:pStyle w:val="ListBullet"/>
      </w:pPr>
      <w:r>
        <w:t>Logging in via either docket, and changing the password via either one, correctly shares across both.</w:t>
      </w:r>
    </w:p>
    <w:p>
      <w:pPr>
        <w:pStyle w:val="ListBullet"/>
      </w:pPr>
      <w:r>
        <w:t>Data Operator's Users list, person search, and Link Cases page all correctly show "Pravin" for both dockets.</w:t>
      </w:r>
    </w:p>
    <w:p>
      <w:pPr>
        <w:pStyle w:val="Heading1"/>
      </w:pPr>
      <w:r>
        <w:rPr>
          <w:rFonts w:ascii="Calibri" w:hAnsi="Calibri"/>
          <w:color w:val="3D5A80"/>
        </w:rPr>
        <w:t>6. Database Changes</w:t>
      </w:r>
    </w:p>
    <w:p>
      <w:pPr>
        <w:spacing w:after="160"/>
      </w:pPr>
      <w:r>
        <w:rPr>
          <w:b w:val="0"/>
          <w:i w:val="0"/>
          <w:sz w:val="22"/>
        </w:rPr>
        <w:t>One migration, two new columns. No other schema changes were required — every other change in this feature is application code deciding which id to query, not a new place to store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linked_to_user_id</w:t>
            </w:r>
          </w:p>
        </w:tc>
        <w:tc>
          <w:tcPr>
            <w:tcW w:type="dxa" w:w="2160"/>
          </w:tcPr>
          <w:p>
            <w:r>
              <w:t>uuid, nullable, FK -&gt; users</w:t>
            </w:r>
          </w:p>
        </w:tc>
        <w:tc>
          <w:tcPr>
            <w:tcW w:type="dxa" w:w="2160"/>
          </w:tcPr>
          <w:p>
            <w:r>
              <w:t>Self-reference marking a dependent case. Same pattern already used by jurisdictions.parent_id.</w:t>
            </w:r>
          </w:p>
        </w:tc>
      </w:tr>
      <w:tr>
        <w:tc>
          <w:tcPr>
            <w:tcW w:type="dxa" w:w="2160"/>
          </w:tcPr>
          <w:p>
            <w:r>
              <w:t>user_identity</w:t>
            </w:r>
          </w:p>
        </w:tc>
        <w:tc>
          <w:tcPr>
            <w:tcW w:type="dxa" w:w="2160"/>
          </w:tcPr>
          <w:p>
            <w:r>
              <w:t>aadhaar_number</w:t>
            </w:r>
          </w:p>
        </w:tc>
        <w:tc>
          <w:tcPr>
            <w:tcW w:type="dxa" w:w="2160"/>
          </w:tcPr>
          <w:p>
            <w:r>
              <w:t>text, unique, nullable</w:t>
            </w:r>
          </w:p>
        </w:tc>
        <w:tc>
          <w:tcPr>
            <w:tcW w:type="dxa" w:w="2160"/>
          </w:tcPr>
          <w:p>
            <w:r>
              <w:t>The matching key. Unique is safe because only an anchor case ever has its own identity row.</w:t>
            </w:r>
          </w:p>
        </w:tc>
      </w:tr>
    </w:tbl>
    <w:p/>
    <w:p>
      <w:pPr>
        <w:spacing w:after="160"/>
      </w:pPr>
      <w:r>
        <w:rPr>
          <w:b/>
          <w:i w:val="0"/>
          <w:sz w:val="22"/>
        </w:rPr>
        <w:t>No breaking changes: existing single-case users are simply rows where linked_to_user_id has always been null — nothing about them changes.</w:t>
      </w:r>
    </w:p>
    <w:p>
      <w:pPr>
        <w:pStyle w:val="Heading1"/>
      </w:pPr>
      <w:r>
        <w:rPr>
          <w:rFonts w:ascii="Calibri" w:hAnsi="Calibri"/>
          <w:color w:val="3D5A80"/>
        </w:rPr>
        <w:t>Additional Fixes Found and Verified Along the Way</w:t>
      </w:r>
    </w:p>
    <w:p>
      <w:pPr>
        <w:spacing w:after="160"/>
      </w:pPr>
      <w:r>
        <w:rPr>
          <w:b w:val="0"/>
          <w:i w:val="0"/>
          <w:sz w:val="22"/>
        </w:rPr>
        <w:t>Beyond the original plan, a systematic review of every place that reads user identity uncovered and fixed:</w:t>
      </w:r>
    </w:p>
    <w:p>
      <w:pPr>
        <w:pStyle w:val="ListBullet"/>
      </w:pPr>
      <w:r>
        <w:t>A dependent case's phone number, address and name were coming back blank in Case Detail, the Data Operator Users list, District/State/National Admin's docket search, and Ministry's system-wide list — all because those places joined user_identity on the case's own literal id instead of its anchor.</w:t>
      </w:r>
    </w:p>
    <w:p>
      <w:pPr>
        <w:pStyle w:val="ListBullet"/>
      </w:pPr>
      <w:r>
        <w:t>Editing a dependent case's address or contact number was silently failing to save.</w:t>
      </w:r>
    </w:p>
    <w:p>
      <w:pPr>
        <w:pStyle w:val="ListBullet"/>
      </w:pPr>
      <w:r>
        <w:t>The Emergency Broadcast route could not reach a dependent case's real phone number or push token.</w:t>
      </w:r>
    </w:p>
    <w:p>
      <w:pPr>
        <w:pStyle w:val="ListBullet"/>
      </w:pPr>
      <w:r>
        <w:t>The disengagement scan and counsellor-performance efficacy metric could have falsely flagged, or double-counted, a linked case.</w:t>
      </w:r>
    </w:p>
    <w:p>
      <w:pPr>
        <w:spacing w:after="160"/>
      </w:pPr>
      <w:r>
        <w:rPr>
          <w:b w:val="0"/>
          <w:i/>
          <w:color w:val="5B6472"/>
          <w:sz w:val="20"/>
        </w:rPr>
        <w:t>All of these were fixed and verified live against the running backend and both frontends.</w:t>
      </w:r>
    </w:p>
    <w:p/>
    <w:p>
      <w:pPr>
        <w:jc w:val="center"/>
      </w:pPr>
      <w:r>
        <w:rPr>
          <w:i/>
          <w:color w:val="5B6472"/>
          <w:sz w:val="18"/>
        </w:rPr>
        <w:t>Mansakha — AI-Based Dynamic Mental Health Monitoring &amp; Distress Prediction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