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b/>
          <w:bCs/>
          <w:color w:val="C8102E"/>
          <w:sz w:val="64"/>
          <w:szCs w:val="64"/>
        </w:rPr>
        <w:t>Exceptra</w:t>
      </w:r>
    </w:p>
    <w:p>
      <w:pPr>
        <w:pStyle w:val="Normal"/>
        <w:jc w:val="center"/>
        <w:rPr>
          <w:b/>
          <w:bCs/>
          <w:color w:val="C8102E"/>
          <w:sz w:val="64"/>
          <w:szCs w:val="64"/>
        </w:rPr>
      </w:pPr>
      <w:r>
        <w:rPr/>
      </w:r>
    </w:p>
    <w:p>
      <w:pPr>
        <w:pStyle w:val="Normal"/>
        <w:spacing w:before="120" w:after="60"/>
        <w:jc w:val="center"/>
        <w:rPr/>
      </w:pPr>
      <w:r>
        <w:rPr>
          <w:b/>
          <w:bCs/>
          <w:color w:val="1A1A1A"/>
          <w:sz w:val="28"/>
          <w:szCs w:val="28"/>
        </w:rPr>
        <w:t>GRC Process Exception &amp; Policy Waiver Management Platform</w:t>
      </w:r>
    </w:p>
    <w:p>
      <w:pPr>
        <w:pStyle w:val="Normal"/>
        <w:spacing w:before="200" w:after="0"/>
        <w:jc w:val="center"/>
        <w:rPr/>
      </w:pPr>
      <w:r>
        <w:rPr>
          <w:i/>
          <w:iCs/>
          <w:color w:val="404040"/>
          <w:sz w:val="22"/>
          <w:szCs w:val="22"/>
        </w:rPr>
        <w:t>Submitted for: Société Générale Global Solution Centre Hackathon</w:t>
      </w:r>
    </w:p>
    <w:p>
      <w:pPr>
        <w:pStyle w:val="Normal"/>
        <w:spacing w:before="40" w:after="0"/>
        <w:jc w:val="center"/>
        <w:rPr/>
      </w:pPr>
      <w:r>
        <w:rPr>
          <w:color w:val="404040"/>
          <w:sz w:val="20"/>
          <w:szCs w:val="20"/>
        </w:rPr>
        <w:t xml:space="preserve">Track: Policy Governance &amp; Risk Management  </w:t>
      </w:r>
    </w:p>
    <w:p>
      <w:pPr>
        <w:pStyle w:val="Normal"/>
        <w:spacing w:before="0" w:after="200"/>
        <w:rPr/>
      </w:pPr>
      <w:r>
        <w:rPr/>
      </w:r>
    </w:p>
    <w:p>
      <w:pPr>
        <w:pStyle w:val="Normal"/>
        <w:spacing w:before="0" w:after="200"/>
        <w:rPr>
          <w:b/>
          <w:bCs/>
          <w:sz w:val="32"/>
          <w:szCs w:val="32"/>
        </w:rPr>
      </w:pPr>
      <w:r>
        <w:rPr>
          <w:b/>
          <w:bCs/>
          <w:sz w:val="32"/>
          <w:szCs w:val="32"/>
        </w:rPr>
        <w:t xml:space="preserve">TEAM: </w:t>
      </w:r>
      <w:r>
        <w:rPr>
          <w:b w:val="false"/>
          <w:bCs w:val="false"/>
          <w:sz w:val="32"/>
          <w:szCs w:val="32"/>
        </w:rPr>
        <w:t>Team APEX</w:t>
      </w:r>
    </w:p>
    <w:p>
      <w:pPr>
        <w:pStyle w:val="Normal"/>
        <w:spacing w:before="0" w:after="200"/>
        <w:rPr/>
      </w:pPr>
      <w:r>
        <w:rPr/>
      </w:r>
    </w:p>
    <w:p>
      <w:pPr>
        <w:pStyle w:val="Normal"/>
        <w:spacing w:before="0" w:after="200"/>
        <w:rPr/>
      </w:pPr>
      <w:r>
        <w:rPr/>
      </w:r>
    </w:p>
    <w:p>
      <w:pPr>
        <w:pStyle w:val="Heading1"/>
        <w:rPr/>
      </w:pPr>
      <w:r>
        <w:rPr/>
        <w:t>Project Links</w:t>
      </w:r>
    </w:p>
    <w:p>
      <w:pPr>
        <w:pStyle w:val="Normal"/>
        <w:spacing w:lineRule="exact" w:line="300" w:before="0" w:after="160"/>
        <w:rPr/>
      </w:pPr>
      <w:r>
        <w:rPr/>
        <w:t xml:space="preserve"> </w:t>
      </w:r>
      <w:r>
        <w:rPr/>
        <w:t>S</w:t>
      </w:r>
      <w:r>
        <w:rPr/>
        <w:t>ource code, and demo walkthrough are provided below.</w:t>
      </w:r>
    </w:p>
    <w:p>
      <w:pPr>
        <w:pStyle w:val="Normal"/>
        <w:pBdr>
          <w:bottom w:val="single" w:sz="4" w:space="4" w:color="D9D9D9"/>
        </w:pBdr>
        <w:spacing w:before="0" w:after="280"/>
        <w:rPr/>
      </w:pPr>
      <w:r>
        <w:rPr>
          <w:b/>
          <w:bCs/>
        </w:rPr>
        <w:t xml:space="preserve">GitHub Repository:  </w:t>
      </w:r>
      <w:r>
        <w:rPr>
          <w:b/>
          <w:bCs/>
          <w:i/>
          <w:iCs/>
          <w:color w:val="999999"/>
        </w:rPr>
        <w:t>https://github.com/Gangadhar-H/ScoGen</w:t>
      </w:r>
    </w:p>
    <w:p>
      <w:pPr>
        <w:pStyle w:val="Normal"/>
        <w:pBdr>
          <w:bottom w:val="single" w:sz="4" w:space="4" w:color="D9D9D9"/>
        </w:pBdr>
        <w:spacing w:before="0" w:after="280"/>
        <w:rPr/>
      </w:pPr>
      <w:r>
        <w:rPr>
          <w:b/>
          <w:bCs/>
        </w:rPr>
        <w:t xml:space="preserve">Demo Video:  </w:t>
      </w:r>
      <w:r>
        <w:rPr>
          <w:b/>
          <w:bCs/>
          <w:i/>
          <w:iCs/>
          <w:color w:val="999999"/>
        </w:rPr>
        <w:t>https://drive.google.com/drive/folders/1G78tncQKxlaHxc93jBEUwQP2_uHPqQCg</w:t>
      </w:r>
      <w:r>
        <w:br w:type="page"/>
      </w:r>
    </w:p>
    <w:p>
      <w:pPr>
        <w:pStyle w:val="Heading1"/>
        <w:spacing w:before="0" w:after="200"/>
        <w:rPr/>
      </w:pPr>
      <w:r>
        <w:rPr/>
        <w:t>1.  Problem Statement</w:t>
      </w:r>
    </w:p>
    <w:p>
      <w:pPr>
        <w:pStyle w:val="Normal"/>
        <w:spacing w:lineRule="exact" w:line="300" w:before="0" w:after="160"/>
        <w:rPr/>
      </w:pPr>
      <w:r>
        <w:rPr>
          <w:b/>
          <w:bCs/>
        </w:rPr>
        <w:t xml:space="preserve">Enterprise Challenge:  </w:t>
      </w:r>
      <w:r>
        <w:rPr>
          <w:i/>
          <w:iCs/>
        </w:rPr>
        <w:t>30% of security breaches exploit exceptions to policy. Are organizations managing risk, or quietly creating it?</w:t>
      </w:r>
    </w:p>
    <w:p>
      <w:pPr>
        <w:pStyle w:val="Heading2"/>
        <w:rPr/>
      </w:pPr>
      <w:r>
        <w:rPr/>
        <w:t>1.1  The Business Problem</w:t>
      </w:r>
    </w:p>
    <w:p>
      <w:pPr>
        <w:pStyle w:val="Normal"/>
        <w:spacing w:lineRule="exact" w:line="300" w:before="0" w:after="160"/>
        <w:rPr/>
      </w:pPr>
      <w:r>
        <w:rPr/>
        <w:t>Large enterprises maintain 100+ active security and compliance policies. In reality, day-to-day operations deviate from these policies constantly — admin access is granted “temporarily,” firewall ports are opened for a vendor integration, or a new hire is given early access before background checks complete. Each of these is a policy exception, and exceptions are exactly where governance breaks down.</w:t>
      </w:r>
    </w:p>
    <w:p>
      <w:pPr>
        <w:pStyle w:val="Heading3"/>
        <w:rPr/>
      </w:pPr>
      <w:r>
        <w:rPr/>
        <w:t>Common Real-World Scenarios</w:t>
      </w:r>
    </w:p>
    <w:p>
      <w:pPr>
        <w:pStyle w:val="ListParagraph"/>
        <w:numPr>
          <w:ilvl w:val="0"/>
          <w:numId w:val="4"/>
        </w:numPr>
        <w:spacing w:lineRule="exact" w:line="290" w:before="0" w:after="90"/>
        <w:rPr/>
      </w:pPr>
      <w:r>
        <w:rPr/>
        <w:t>“</w:t>
      </w:r>
      <w:r>
        <w:rPr/>
        <w:t>We need to grant admin access to the cloud engineer for production troubleshooting.” — Exception is created and approved, but never removed.</w:t>
      </w:r>
    </w:p>
    <w:p>
      <w:pPr>
        <w:pStyle w:val="ListParagraph"/>
        <w:numPr>
          <w:ilvl w:val="0"/>
          <w:numId w:val="1"/>
        </w:numPr>
        <w:spacing w:lineRule="exact" w:line="290" w:before="0" w:after="90"/>
        <w:rPr/>
      </w:pPr>
      <w:r>
        <w:rPr/>
        <w:t>“</w:t>
      </w:r>
      <w:r>
        <w:rPr/>
        <w:t>The firewall rule is blocking our integration with Partner Ltd, so we need to open port 8080.” — A “temporary” exception is created; 18 months later it is still open.</w:t>
      </w:r>
    </w:p>
    <w:p>
      <w:pPr>
        <w:pStyle w:val="ListParagraph"/>
        <w:numPr>
          <w:ilvl w:val="0"/>
          <w:numId w:val="1"/>
        </w:numPr>
        <w:spacing w:lineRule="exact" w:line="290" w:before="0" w:after="90"/>
        <w:rPr/>
      </w:pPr>
      <w:r>
        <w:rPr/>
        <w:t>“</w:t>
      </w:r>
      <w:r>
        <w:rPr/>
        <w:t>New hire can’t access systems until the background check completes (7 days), but needs to start training today.” — Exception is granted and then forgotten once the check finishes.</w:t>
      </w:r>
    </w:p>
    <w:p>
      <w:pPr>
        <w:pStyle w:val="Heading3"/>
        <w:rPr/>
      </w:pPr>
      <w:r>
        <w:rPr/>
        <w:t>What Goes Wrong Today</w:t>
      </w:r>
    </w:p>
    <w:p>
      <w:pPr>
        <w:pStyle w:val="ListParagraph"/>
        <w:numPr>
          <w:ilvl w:val="0"/>
          <w:numId w:val="1"/>
        </w:numPr>
        <w:spacing w:lineRule="exact" w:line="290" w:before="0" w:after="90"/>
        <w:rPr/>
      </w:pPr>
      <w:r>
        <w:rPr/>
        <w:t>Exception requests are managed informally through email threads or Excel sheets.</w:t>
      </w:r>
    </w:p>
    <w:p>
      <w:pPr>
        <w:pStyle w:val="ListParagraph"/>
        <w:numPr>
          <w:ilvl w:val="0"/>
          <w:numId w:val="1"/>
        </w:numPr>
        <w:spacing w:lineRule="exact" w:line="290" w:before="0" w:after="90"/>
        <w:rPr/>
      </w:pPr>
      <w:r>
        <w:rPr/>
        <w:t>There is no visibility into how many exceptions are currently active.</w:t>
      </w:r>
    </w:p>
    <w:p>
      <w:pPr>
        <w:pStyle w:val="ListParagraph"/>
        <w:numPr>
          <w:ilvl w:val="0"/>
          <w:numId w:val="1"/>
        </w:numPr>
        <w:spacing w:lineRule="exact" w:line="290" w:before="0" w:after="90"/>
        <w:rPr/>
      </w:pPr>
      <w:r>
        <w:rPr/>
        <w:t>Exceptions expire on paper but are never actually revoked, creating orphaned access.</w:t>
      </w:r>
    </w:p>
    <w:p>
      <w:pPr>
        <w:pStyle w:val="ListParagraph"/>
        <w:numPr>
          <w:ilvl w:val="0"/>
          <w:numId w:val="1"/>
        </w:numPr>
        <w:spacing w:lineRule="exact" w:line="290" w:before="0" w:after="90"/>
        <w:rPr/>
      </w:pPr>
      <w:r>
        <w:rPr/>
        <w:t>Auditors are left asking: “Which exceptions are still justified? Which are still needed?”</w:t>
      </w:r>
    </w:p>
    <w:p>
      <w:pPr>
        <w:pStyle w:val="Heading3"/>
        <w:rPr/>
      </w:pPr>
      <w:r>
        <w:rPr/>
        <w:t>Documented Real Failures</w:t>
      </w:r>
    </w:p>
    <w:p>
      <w:pPr>
        <w:pStyle w:val="ListParagraph"/>
        <w:numPr>
          <w:ilvl w:val="0"/>
          <w:numId w:val="1"/>
        </w:numPr>
        <w:spacing w:lineRule="exact" w:line="290" w:before="0" w:after="90"/>
        <w:rPr/>
      </w:pPr>
      <w:r>
        <w:rPr/>
        <w:t>Case 1: An exception granted “temporarily” for a network change was still active three years later — and led directly to a breach.</w:t>
      </w:r>
    </w:p>
    <w:p>
      <w:pPr>
        <w:pStyle w:val="ListParagraph"/>
        <w:numPr>
          <w:ilvl w:val="0"/>
          <w:numId w:val="1"/>
        </w:numPr>
        <w:spacing w:lineRule="exact" w:line="290" w:before="0" w:after="90"/>
        <w:rPr/>
      </w:pPr>
      <w:r>
        <w:rPr/>
        <w:t>Case 2: Fifteen security exceptions sat pending review for 3–6 months, with no one able to confirm which were still valid.</w:t>
      </w:r>
    </w:p>
    <w:p>
      <w:pPr>
        <w:pStyle w:val="ListParagraph"/>
        <w:numPr>
          <w:ilvl w:val="0"/>
          <w:numId w:val="1"/>
        </w:numPr>
        <w:spacing w:lineRule="exact" w:line="290" w:before="0" w:after="90"/>
        <w:rPr/>
      </w:pPr>
      <w:r>
        <w:rPr/>
        <w:t>Case 3: Policy mandated that “all vendor access requires approval,” yet five vendors held completely undocumented exceptions.</w:t>
      </w:r>
    </w:p>
    <w:p>
      <w:pPr>
        <w:pStyle w:val="Heading3"/>
        <w:rPr/>
      </w:pPr>
      <w:r>
        <w:rPr/>
        <w:t>Compliance Impact</w:t>
      </w:r>
    </w:p>
    <w:p>
      <w:pPr>
        <w:pStyle w:val="ListParagraph"/>
        <w:numPr>
          <w:ilvl w:val="0"/>
          <w:numId w:val="1"/>
        </w:numPr>
        <w:spacing w:lineRule="exact" w:line="290" w:before="0" w:after="90"/>
        <w:rPr/>
      </w:pPr>
      <w:r>
        <w:rPr/>
        <w:t>NIST SP 800-53, AC-2 — Access controls must be consistently applied.</w:t>
      </w:r>
    </w:p>
    <w:p>
      <w:pPr>
        <w:pStyle w:val="ListParagraph"/>
        <w:numPr>
          <w:ilvl w:val="0"/>
          <w:numId w:val="1"/>
        </w:numPr>
        <w:spacing w:lineRule="exact" w:line="290" w:before="0" w:after="90"/>
        <w:rPr/>
      </w:pPr>
      <w:r>
        <w:rPr/>
        <w:t>GDPR, Article 25 — Data protection by design is undermined by unmanaged exceptions.</w:t>
      </w:r>
    </w:p>
    <w:p>
      <w:pPr>
        <w:pStyle w:val="ListParagraph"/>
        <w:numPr>
          <w:ilvl w:val="0"/>
          <w:numId w:val="1"/>
        </w:numPr>
        <w:spacing w:lineRule="exact" w:line="290" w:before="0" w:after="90"/>
        <w:rPr/>
      </w:pPr>
      <w:r>
        <w:rPr/>
        <w:t>CIS Controls 1.1 — A complete inventory of IT assets must include exceptions.</w:t>
      </w:r>
    </w:p>
    <w:p>
      <w:pPr>
        <w:pStyle w:val="Heading2"/>
        <w:rPr/>
      </w:pPr>
      <w:r>
        <w:rPr/>
        <w:t>1.2  The Challenge Brief</w:t>
      </w:r>
    </w:p>
    <w:p>
      <w:pPr>
        <w:pStyle w:val="Normal"/>
        <w:spacing w:lineRule="exact" w:line="300" w:before="0" w:after="160"/>
        <w:rPr/>
      </w:pPr>
      <w:r>
        <w:rPr/>
        <w:t>Build a system that can:</w:t>
      </w:r>
    </w:p>
    <w:p>
      <w:pPr>
        <w:pStyle w:val="ListParagraph"/>
        <w:numPr>
          <w:ilvl w:val="0"/>
          <w:numId w:val="5"/>
        </w:numPr>
        <w:spacing w:lineRule="exact" w:line="290" w:before="0" w:after="90"/>
        <w:rPr/>
      </w:pPr>
      <w:r>
        <w:rPr/>
        <w:t>Centralize all policy exceptions and waivers in one place.</w:t>
      </w:r>
    </w:p>
    <w:p>
      <w:pPr>
        <w:pStyle w:val="ListParagraph"/>
        <w:numPr>
          <w:ilvl w:val="0"/>
          <w:numId w:val="2"/>
        </w:numPr>
        <w:spacing w:lineRule="exact" w:line="290" w:before="0" w:after="90"/>
        <w:rPr/>
      </w:pPr>
      <w:r>
        <w:rPr/>
        <w:t>Capture exception metadata — who, what, why, and when it expires.</w:t>
      </w:r>
    </w:p>
    <w:p>
      <w:pPr>
        <w:pStyle w:val="ListParagraph"/>
        <w:numPr>
          <w:ilvl w:val="0"/>
          <w:numId w:val="2"/>
        </w:numPr>
        <w:spacing w:lineRule="exact" w:line="290" w:before="0" w:after="90"/>
        <w:rPr/>
      </w:pPr>
      <w:r>
        <w:rPr/>
        <w:t>Visualize active exceptions through a portfolio view and risk heat-map.</w:t>
      </w:r>
    </w:p>
    <w:p>
      <w:pPr>
        <w:pStyle w:val="ListParagraph"/>
        <w:numPr>
          <w:ilvl w:val="0"/>
          <w:numId w:val="2"/>
        </w:numPr>
        <w:spacing w:lineRule="exact" w:line="290" w:before="0" w:after="90"/>
        <w:rPr/>
      </w:pPr>
      <w:r>
        <w:rPr/>
        <w:t>Alert stakeholders on exceptions approaching expiry.</w:t>
      </w:r>
    </w:p>
    <w:p>
      <w:pPr>
        <w:pStyle w:val="ListParagraph"/>
        <w:numPr>
          <w:ilvl w:val="0"/>
          <w:numId w:val="2"/>
        </w:numPr>
        <w:spacing w:lineRule="exact" w:line="290" w:before="0" w:after="90"/>
        <w:rPr/>
      </w:pPr>
      <w:r>
        <w:rPr/>
        <w:t>Track the full exception lifecycle — request → approval → renewal / revocation.</w:t>
      </w:r>
    </w:p>
    <w:p>
      <w:pPr>
        <w:pStyle w:val="ListParagraph"/>
        <w:numPr>
          <w:ilvl w:val="0"/>
          <w:numId w:val="2"/>
        </w:numPr>
        <w:spacing w:lineRule="exact" w:line="290" w:before="0" w:after="90"/>
        <w:rPr/>
      </w:pPr>
      <w:r>
        <w:rPr/>
        <w:t>Report exception status to auditors on demand.</w:t>
      </w:r>
    </w:p>
    <w:p>
      <w:pPr>
        <w:pStyle w:val="Heading2"/>
        <w:rPr/>
      </w:pPr>
      <w:r>
        <w:rPr/>
        <w:t>1.3  Ambiguity We Had to Design For</w:t>
      </w:r>
    </w:p>
    <w:p>
      <w:pPr>
        <w:pStyle w:val="Normal"/>
        <w:spacing w:lineRule="exact" w:line="300" w:before="0" w:after="160"/>
        <w:rPr/>
      </w:pPr>
      <w:r>
        <w:rPr/>
        <w:t>Beyond the core feature list, the brief intentionally leaves several judgment calls open. We treated these as first-class design requirements rather than edge cases:</w:t>
      </w:r>
    </w:p>
    <w:p>
      <w:pPr>
        <w:pStyle w:val="ListParagraph"/>
        <w:numPr>
          <w:ilvl w:val="0"/>
          <w:numId w:val="1"/>
        </w:numPr>
        <w:spacing w:lineRule="exact" w:line="290" w:before="0" w:after="90"/>
        <w:rPr/>
      </w:pPr>
      <w:r>
        <w:rPr/>
        <w:t>Is an exception still valid? (Reported as active, but not renewed in two years.)</w:t>
      </w:r>
    </w:p>
    <w:p>
      <w:pPr>
        <w:pStyle w:val="ListParagraph"/>
        <w:numPr>
          <w:ilvl w:val="0"/>
          <w:numId w:val="1"/>
        </w:numPr>
        <w:spacing w:lineRule="exact" w:line="290" w:before="0" w:after="90"/>
        <w:rPr/>
      </w:pPr>
      <w:r>
        <w:rPr/>
        <w:t>Multiple approvers reaching conflicting decisions on the same request.</w:t>
      </w:r>
    </w:p>
    <w:p>
      <w:pPr>
        <w:pStyle w:val="ListParagraph"/>
        <w:numPr>
          <w:ilvl w:val="0"/>
          <w:numId w:val="1"/>
        </w:numPr>
        <w:spacing w:lineRule="exact" w:line="290" w:before="0" w:after="90"/>
        <w:rPr/>
      </w:pPr>
      <w:r>
        <w:rPr/>
        <w:t>Emergency exceptions that should carry strict, non-negotiable time limits.</w:t>
      </w:r>
    </w:p>
    <w:p>
      <w:pPr>
        <w:pStyle w:val="ListParagraph"/>
        <w:numPr>
          <w:ilvl w:val="0"/>
          <w:numId w:val="1"/>
        </w:numPr>
        <w:spacing w:lineRule="exact" w:line="290" w:before="0" w:after="90"/>
        <w:rPr/>
      </w:pPr>
      <w:r>
        <w:rPr/>
        <w:t>Exceptions that should have been escalated well before they expired.</w:t>
      </w:r>
    </w:p>
    <w:p>
      <w:pPr>
        <w:pStyle w:val="ListParagraph"/>
        <w:numPr>
          <w:ilvl w:val="0"/>
          <w:numId w:val="1"/>
        </w:numPr>
        <w:spacing w:lineRule="exact" w:line="290" w:before="0" w:after="90"/>
        <w:rPr/>
      </w:pPr>
      <w:r>
        <w:rPr/>
        <w:t>Risk accumulation — does a person holding ten “small” exceptions add up to one major risk?</w:t>
      </w:r>
    </w:p>
    <w:p>
      <w:pPr>
        <w:pStyle w:val="Normal"/>
        <w:rPr/>
      </w:pPr>
      <w:r>
        <w:rPr/>
      </w:r>
      <w:r>
        <w:br w:type="page"/>
      </w:r>
    </w:p>
    <w:p>
      <w:pPr>
        <w:pStyle w:val="Heading1"/>
        <w:spacing w:before="0" w:after="200"/>
        <w:rPr/>
      </w:pPr>
      <w:r>
        <w:rPr/>
        <w:t>2.  The Solution We Built</w:t>
      </w:r>
    </w:p>
    <w:p>
      <w:pPr>
        <w:pStyle w:val="Normal"/>
        <w:spacing w:lineRule="exact" w:line="300" w:before="0" w:after="160"/>
        <w:rPr/>
      </w:pPr>
      <w:r>
        <w:rPr/>
        <w:t>Exceptra</w:t>
      </w:r>
      <w:r>
        <w:rPr/>
        <w:t xml:space="preserve"> is a full-stack Policy Exception Lifecycle Management platform that replaces email threads and spreadsheets with a single governed system of record. Every exception is captured, scored, routed through a segregation-of-duties approval chain, monitored for anomalies, and made fully auditable — built with the same security-first mindset we would expect from a banking-grade GRC tool.</w:t>
      </w:r>
    </w:p>
    <w:p>
      <w:pPr>
        <w:pStyle w:val="Normal"/>
        <w:spacing w:lineRule="exact" w:line="300" w:before="0" w:after="160"/>
        <w:rPr/>
      </w:pPr>
      <w:r>
        <w:rPr/>
        <w:t>The platform is composed of a React/Vite single-page frontend and a Node.js/Express/PostgreSQL backend, secured end-to-end with JWT authentication and role-based access control across five distinct user roles: Requester, Approver, Security Reviewer, Auditor, and Admin.</w:t>
      </w:r>
    </w:p>
    <w:p>
      <w:pPr>
        <w:pStyle w:val="Heading2"/>
        <w:rPr/>
      </w:pPr>
      <w:r>
        <w:rPr/>
        <w:t>2.1  How We Resolved the Open Ambiguities</w:t>
      </w:r>
    </w:p>
    <w:tbl>
      <w:tblPr>
        <w:tblW w:w="9360" w:type="dxa"/>
        <w:jc w:val="left"/>
        <w:tblInd w:w="0" w:type="dxa"/>
        <w:tblLayout w:type="fixed"/>
        <w:tblCellMar>
          <w:top w:w="100" w:type="dxa"/>
          <w:left w:w="140" w:type="dxa"/>
          <w:bottom w:w="100" w:type="dxa"/>
          <w:right w:w="140" w:type="dxa"/>
        </w:tblCellMar>
      </w:tblPr>
      <w:tblGrid>
        <w:gridCol w:w="3300"/>
        <w:gridCol w:w="6059"/>
      </w:tblGrid>
      <w:tr>
        <w:trPr/>
        <w:tc>
          <w:tcPr>
            <w:tcW w:w="3300"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Ambiguity from the Brief</w:t>
            </w:r>
          </w:p>
        </w:tc>
        <w:tc>
          <w:tcPr>
            <w:tcW w:w="6059"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 xml:space="preserve">How </w:t>
            </w:r>
            <w:r>
              <w:rPr>
                <w:b/>
                <w:bCs/>
                <w:color w:val="FFFFFF"/>
                <w:sz w:val="21"/>
                <w:szCs w:val="21"/>
              </w:rPr>
              <w:t>Exceptra</w:t>
            </w:r>
            <w:r>
              <w:rPr>
                <w:b/>
                <w:bCs/>
                <w:color w:val="FFFFFF"/>
                <w:sz w:val="21"/>
                <w:szCs w:val="21"/>
              </w:rPr>
              <w:t xml:space="preserve"> Resolves It</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Is the exception still valid?</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Automated cron jobs flag any ACTIVE exception past its expiry date (EXPIRED_BUT_ACTIVE) and any exception running over 180 days without re-review (LONG_RUNNING), surfacing both on the dashboard and in the audit trail.</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Conflicting approver decisions</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 strict two-stage, sequential approval chain (Manager → Security Reviewer) replaces ad-hoc multi-approver chaos. No approver can act on their own request, and every decision — including comments and risk-score overrides — is permanently recorded.</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Emergency exceptions need strict time limits</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Every exception requires a start and expiry date before submission. A live expiry countdown is shown in the UI, and a daily scheduler automatically transitions overdue exceptions to EXPIRED — nothing stays active by accident.</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Exceptions should escalate before expiry</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 notification scheduler proactively warns requesters at 7 days, 3 days, and on overdue exceptions, while the dashboard surfaces an “Expiring Soon” metric to reviewers in real time.</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Risk accumulation across many small exceptions</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Dedicated anomaly rules detect when a single requester holds 3+ simultaneous active exceptions (MULTIPLE_PER_USER) or when the same exception type is repeatedly requested for the same system (REPEATED_EXCEPTION) — turning many “small” risks into one visible flag.</w:t>
            </w:r>
          </w:p>
        </w:tc>
      </w:tr>
    </w:tbl>
    <w:p>
      <w:pPr>
        <w:pStyle w:val="Normal"/>
        <w:rPr/>
      </w:pPr>
      <w:r>
        <w:rPr/>
      </w:r>
      <w:r>
        <w:br w:type="page"/>
      </w:r>
    </w:p>
    <w:p>
      <w:pPr>
        <w:pStyle w:val="Heading1"/>
        <w:spacing w:before="0" w:after="200"/>
        <w:rPr/>
      </w:pPr>
      <w:r>
        <w:rPr/>
        <w:t>3</w:t>
      </w:r>
      <w:r>
        <w:rPr/>
        <w:t>.  Headline Features</w:t>
      </w:r>
    </w:p>
    <w:p>
      <w:pPr>
        <w:pStyle w:val="Normal"/>
        <w:spacing w:lineRule="exact" w:line="300" w:before="0" w:after="160"/>
        <w:rPr/>
      </w:pPr>
      <w:r>
        <w:rPr/>
        <w:t>The following capabilities are the ones we expect to stand out immediately to a security-focused panel of judges — each one mirrors a control a real banking GRC function would expect to see.</w:t>
      </w:r>
    </w:p>
    <w:p>
      <w:pPr>
        <w:pStyle w:val="Normal"/>
        <w:spacing w:before="220" w:after="60"/>
        <w:rPr/>
      </w:pPr>
      <w:r>
        <w:rPr>
          <w:b/>
          <w:bCs/>
          <w:color w:val="C8102E"/>
          <w:sz w:val="24"/>
          <w:szCs w:val="24"/>
        </w:rPr>
        <w:t>Five-Role Segregation-of-Duties Architecture</w:t>
      </w:r>
    </w:p>
    <w:p>
      <w:pPr>
        <w:pStyle w:val="Normal"/>
        <w:spacing w:lineRule="exact" w:line="300" w:before="0" w:after="160"/>
        <w:rPr/>
      </w:pPr>
      <w:r>
        <w:rPr/>
        <w:t>Access is governed by five distinct roles — Requester, Approver, Security Reviewer, Auditor, and Admin — enforced consistently at the route level, the UI navigation level, and the backend middleware level. A requester can never approve their own exception, and an approver can never review their own submission, directly addressing the auditor question of “who approved what, and were they allowed to?”</w:t>
      </w:r>
    </w:p>
    <w:p>
      <w:pPr>
        <w:pStyle w:val="Normal"/>
        <w:spacing w:before="220" w:after="60"/>
        <w:rPr/>
      </w:pPr>
      <w:r>
        <w:rPr>
          <w:b/>
          <w:bCs/>
          <w:color w:val="C8102E"/>
          <w:sz w:val="24"/>
          <w:szCs w:val="24"/>
        </w:rPr>
        <w:t>Two-Stage Sequential Approval Workflow</w:t>
      </w:r>
    </w:p>
    <w:p>
      <w:pPr>
        <w:pStyle w:val="Normal"/>
        <w:spacing w:lineRule="exact" w:line="300" w:before="0" w:after="160"/>
        <w:rPr/>
      </w:pPr>
      <w:r>
        <w:rPr/>
        <w:t>Every exception above draft stage must clear two independent checkpoints: a departmental Manager, followed by a Security Reviewer. The Security Reviewer alone may override the calculated risk score — and only with a recorded justification. This directly eliminates the “conflicting approvers” ambiguity by removing parallel, uncoordinated approval paths in favor of one deterministic sequence.</w:t>
      </w:r>
    </w:p>
    <w:p>
      <w:pPr>
        <w:pStyle w:val="Normal"/>
        <w:spacing w:before="220" w:after="60"/>
        <w:rPr/>
      </w:pPr>
      <w:r>
        <w:rPr>
          <w:b/>
          <w:bCs/>
          <w:color w:val="C8102E"/>
          <w:sz w:val="24"/>
          <w:szCs w:val="24"/>
        </w:rPr>
        <w:t>Deterministic, Fully Explainable Risk Engine</w:t>
      </w:r>
    </w:p>
    <w:p>
      <w:pPr>
        <w:pStyle w:val="Normal"/>
        <w:spacing w:lineRule="exact" w:line="300" w:before="0" w:after="160"/>
        <w:rPr/>
      </w:pPr>
      <w:r>
        <w:rPr/>
        <w:t>Every exception receives a risk score computed from transparent, auditable inputs: exception type, requested duration, renewal count, and approval stage bonuses. Unlike a black-box model, every score can be reconstructed and defended in an audit — finalScore = typeRisk + durationRisk + renewalRisk − approvalBonus, clamped 0–100, mapped to LOW / MEDIUM / HIGH / CRITICAL.</w:t>
      </w:r>
    </w:p>
    <w:p>
      <w:pPr>
        <w:pStyle w:val="Normal"/>
        <w:spacing w:before="220" w:after="60"/>
        <w:rPr/>
      </w:pPr>
      <w:r>
        <w:rPr>
          <w:b/>
          <w:bCs/>
          <w:color w:val="C8102E"/>
          <w:sz w:val="24"/>
          <w:szCs w:val="24"/>
        </w:rPr>
        <w:t>AI Governance Advisor — Fail-Soft by Design</w:t>
      </w:r>
    </w:p>
    <w:p>
      <w:pPr>
        <w:pStyle w:val="Normal"/>
        <w:spacing w:lineRule="exact" w:line="300" w:before="0" w:after="160"/>
        <w:rPr/>
      </w:pPr>
      <w:r>
        <w:rPr/>
        <w:t>A Gemini-powered advisor reviews open-ended or high-risk requests and proposes a safer, time-boxed alternative with a plain-language rationale — for example, recommending a 14-day scoped window instead of a permanent admin grant. Critically, the AI never calculates the risk score itself (that remains deterministic) and the feature is wrapped in a resilient fallback: if the AI provider is slow, rate-limited, or unavailable, exception creation continues uninterrupted. Governance never depends on a third-party API being up.</w:t>
      </w:r>
    </w:p>
    <w:p>
      <w:pPr>
        <w:pStyle w:val="Normal"/>
        <w:spacing w:before="220" w:after="60"/>
        <w:rPr/>
      </w:pPr>
      <w:r>
        <w:rPr>
          <w:b/>
          <w:bCs/>
          <w:color w:val="C8102E"/>
          <w:sz w:val="24"/>
          <w:szCs w:val="24"/>
        </w:rPr>
        <w:t>Automated, Multi-Rule Anomaly Detection Engine</w:t>
      </w:r>
    </w:p>
    <w:p>
      <w:pPr>
        <w:pStyle w:val="Normal"/>
        <w:spacing w:lineRule="exact" w:line="300" w:before="0" w:after="160"/>
        <w:rPr/>
      </w:pPr>
      <w:r>
        <w:rPr/>
        <w:t>An hourly scheduled job runs eight independent detection rules across every exception in the system: expired-but-still-active access, stalled reviews (30+ days), long-running exceptions (180+ days), 3+ simultaneous exceptions per requester, 3+ renewals of the same exception, repeated requests for the same system, and any HIGH or CRITICAL risk exception left unattended. Findings are persisted, surfaced on the dashboard, and pushed directly to Security Reviewers for CRITICAL flags.</w:t>
      </w:r>
    </w:p>
    <w:p>
      <w:pPr>
        <w:pStyle w:val="Normal"/>
        <w:spacing w:before="220" w:after="60"/>
        <w:rPr/>
      </w:pPr>
      <w:r>
        <w:rPr>
          <w:b/>
          <w:bCs/>
          <w:color w:val="C8102E"/>
          <w:sz w:val="24"/>
          <w:szCs w:val="24"/>
        </w:rPr>
        <w:t>Organization &amp; Department Governance Credit Score</w:t>
      </w:r>
    </w:p>
    <w:p>
      <w:pPr>
        <w:pStyle w:val="Normal"/>
        <w:spacing w:lineRule="exact" w:line="300" w:before="0" w:after="160"/>
        <w:rPr/>
      </w:pPr>
      <w:r>
        <w:rPr/>
        <w:t>Abstract risk is translated into a single, audit-friendly metric: a 0–100 score and A–F letter grade per department (and rolled up organization-wide), penalizing expired exceptions, late renewals, rejected/rework approvals, and open anomaly findings. This gives leadership and auditors an instant, defensible read on governance health — not just a list of records.</w:t>
      </w:r>
    </w:p>
    <w:p>
      <w:pPr>
        <w:pStyle w:val="Normal"/>
        <w:spacing w:before="220" w:after="60"/>
        <w:rPr/>
      </w:pPr>
      <w:r>
        <w:rPr>
          <w:b/>
          <w:bCs/>
          <w:color w:val="C8102E"/>
          <w:sz w:val="24"/>
          <w:szCs w:val="24"/>
        </w:rPr>
        <w:t>Immutable, Fully Replayable Audit Trail</w:t>
      </w:r>
    </w:p>
    <w:p>
      <w:pPr>
        <w:pStyle w:val="Normal"/>
        <w:spacing w:lineRule="exact" w:line="300" w:before="0" w:after="160"/>
        <w:rPr/>
      </w:pPr>
      <w:r>
        <w:rPr/>
        <w:t>Every state-changing action — creation, submission, approval, rejection, override, revocation, renewal — is written to an append-only audit log capturing the actor, timestamp, IP address, and the complete before/after state. Each exception’s full history can be replayed as a timeline, and the entire ledger can be filtered and exported to PDF for an external auditor.</w:t>
      </w:r>
    </w:p>
    <w:p>
      <w:pPr>
        <w:pStyle w:val="Normal"/>
        <w:spacing w:before="220" w:after="60"/>
        <w:rPr/>
      </w:pPr>
      <w:r>
        <w:rPr>
          <w:b/>
          <w:bCs/>
          <w:color w:val="C8102E"/>
          <w:sz w:val="24"/>
          <w:szCs w:val="24"/>
        </w:rPr>
        <w:t>Compliance Framework Mapping</w:t>
      </w:r>
    </w:p>
    <w:p>
      <w:pPr>
        <w:pStyle w:val="Normal"/>
        <w:spacing w:lineRule="exact" w:line="300" w:before="0" w:after="160"/>
        <w:rPr/>
      </w:pPr>
      <w:r>
        <w:rPr/>
        <w:t>Every exception type is mapped to the regulatory control it touches — NIST SP 800-53 (AC-2), GDPR (Article 25), and ISO 27001 (A.9) — so reviewers and auditors can instantly see compliance exposure by framework, not just by department.</w:t>
      </w:r>
    </w:p>
    <w:p>
      <w:pPr>
        <w:pStyle w:val="Normal"/>
        <w:spacing w:before="220" w:after="60"/>
        <w:rPr/>
      </w:pPr>
      <w:r>
        <w:rPr>
          <w:b/>
          <w:bCs/>
          <w:color w:val="C8102E"/>
          <w:sz w:val="24"/>
          <w:szCs w:val="24"/>
        </w:rPr>
        <w:t>Automated Lifecycle Enforcement</w:t>
      </w:r>
    </w:p>
    <w:p>
      <w:pPr>
        <w:pStyle w:val="Normal"/>
        <w:spacing w:lineRule="exact" w:line="300" w:before="0" w:after="160"/>
        <w:rPr/>
      </w:pPr>
      <w:r>
        <w:rPr/>
        <w:t>Exceptions are never left to expire silently. A daily scheduler force-expires overdue ACTIVE exceptions, renewals are routed back through the full two-stage approval chain (never auto-renewed), and the renewal count directly feeds both the risk engine and the governance score — making “temporary-forever” access mathematically visible rather than hidden.</w:t>
      </w:r>
    </w:p>
    <w:p>
      <w:pPr>
        <w:pStyle w:val="Normal"/>
        <w:rPr/>
      </w:pPr>
      <w:r>
        <w:rPr/>
      </w:r>
      <w:r>
        <w:br w:type="page"/>
      </w:r>
    </w:p>
    <w:p>
      <w:pPr>
        <w:pStyle w:val="Heading1"/>
        <w:spacing w:before="0" w:after="200"/>
        <w:rPr/>
      </w:pPr>
      <w:r>
        <w:rPr/>
        <w:t>4</w:t>
      </w:r>
      <w:r>
        <w:rPr/>
        <w:t>.  Additional Platform Features</w:t>
      </w:r>
    </w:p>
    <w:p>
      <w:pPr>
        <w:pStyle w:val="Heading2"/>
        <w:rPr/>
      </w:pPr>
      <w:r>
        <w:rPr/>
        <w:t>4</w:t>
      </w:r>
      <w:r>
        <w:rPr/>
        <w:t>.1  Visibility &amp; Reporting</w:t>
      </w:r>
    </w:p>
    <w:p>
      <w:pPr>
        <w:pStyle w:val="ListParagraph"/>
        <w:numPr>
          <w:ilvl w:val="0"/>
          <w:numId w:val="1"/>
        </w:numPr>
        <w:spacing w:lineRule="exact" w:line="290" w:before="0" w:after="90"/>
        <w:rPr/>
      </w:pPr>
      <w:r>
        <w:rPr/>
        <w:t>Executive dashboard with risk distribution, department breakdown, and compliance-impact charts (Recharts).</w:t>
      </w:r>
    </w:p>
    <w:p>
      <w:pPr>
        <w:pStyle w:val="ListParagraph"/>
        <w:numPr>
          <w:ilvl w:val="0"/>
          <w:numId w:val="1"/>
        </w:numPr>
        <w:spacing w:lineRule="exact" w:line="290" w:before="0" w:after="90"/>
        <w:rPr/>
      </w:pPr>
      <w:r>
        <w:rPr/>
        <w:t>Dedicated Reports module: Active, Critical, Expired, By Department, Compliance, Policy Effectiveness, and Governance Score views.</w:t>
      </w:r>
    </w:p>
    <w:p>
      <w:pPr>
        <w:pStyle w:val="ListParagraph"/>
        <w:numPr>
          <w:ilvl w:val="0"/>
          <w:numId w:val="1"/>
        </w:numPr>
        <w:spacing w:lineRule="exact" w:line="290" w:before="0" w:after="90"/>
        <w:rPr/>
      </w:pPr>
      <w:r>
        <w:rPr/>
        <w:t>One-click PDF export for audit logs and exception reports, ready to hand to an external auditor.</w:t>
      </w:r>
    </w:p>
    <w:p>
      <w:pPr>
        <w:pStyle w:val="ListParagraph"/>
        <w:numPr>
          <w:ilvl w:val="0"/>
          <w:numId w:val="1"/>
        </w:numPr>
        <w:spacing w:lineRule="exact" w:line="290" w:before="0" w:after="90"/>
        <w:rPr/>
      </w:pPr>
      <w:r>
        <w:rPr/>
        <w:t>Live, in-form risk-score preview as a requester fills out a new exception — risk is visible before submission, not after.</w:t>
      </w:r>
    </w:p>
    <w:p>
      <w:pPr>
        <w:pStyle w:val="Heading2"/>
        <w:rPr/>
      </w:pPr>
      <w:r>
        <w:rPr/>
        <w:t>4</w:t>
      </w:r>
      <w:r>
        <w:rPr/>
        <w:t>.2  Notifications &amp; Communication</w:t>
      </w:r>
    </w:p>
    <w:p>
      <w:pPr>
        <w:pStyle w:val="ListParagraph"/>
        <w:numPr>
          <w:ilvl w:val="0"/>
          <w:numId w:val="1"/>
        </w:numPr>
        <w:spacing w:lineRule="exact" w:line="290" w:before="0" w:after="90"/>
        <w:rPr/>
      </w:pPr>
      <w:r>
        <w:rPr/>
        <w:t>In-app notification center with unread-count badge, polling every 30 seconds.</w:t>
      </w:r>
    </w:p>
    <w:p>
      <w:pPr>
        <w:pStyle w:val="ListParagraph"/>
        <w:numPr>
          <w:ilvl w:val="0"/>
          <w:numId w:val="1"/>
        </w:numPr>
        <w:spacing w:lineRule="exact" w:line="290" w:before="0" w:after="90"/>
        <w:rPr/>
      </w:pPr>
      <w:r>
        <w:rPr/>
        <w:t>Email notifications (with a safe console-mock fallback when SMTP isn’t configured) for approvals required, expiry warnings, overdue items, and rejections.</w:t>
      </w:r>
    </w:p>
    <w:p>
      <w:pPr>
        <w:pStyle w:val="Heading2"/>
        <w:rPr/>
      </w:pPr>
      <w:r>
        <w:rPr/>
        <w:t>4</w:t>
      </w:r>
      <w:r>
        <w:rPr/>
        <w:t>.3  Administration</w:t>
      </w:r>
    </w:p>
    <w:p>
      <w:pPr>
        <w:pStyle w:val="ListParagraph"/>
        <w:numPr>
          <w:ilvl w:val="0"/>
          <w:numId w:val="1"/>
        </w:numPr>
        <w:spacing w:lineRule="exact" w:line="290" w:before="0" w:after="90"/>
        <w:rPr/>
      </w:pPr>
      <w:r>
        <w:rPr/>
        <w:t>Admin console for managing users, roles, departments, exception types, and policies.</w:t>
      </w:r>
    </w:p>
    <w:p>
      <w:pPr>
        <w:pStyle w:val="ListParagraph"/>
        <w:numPr>
          <w:ilvl w:val="0"/>
          <w:numId w:val="1"/>
        </w:numPr>
        <w:spacing w:lineRule="exact" w:line="290" w:before="0" w:after="90"/>
        <w:rPr/>
      </w:pPr>
      <w:r>
        <w:rPr/>
        <w:t>System-wide metrics (users, exceptions, active count, departments) on the admin dashboard.</w:t>
      </w:r>
    </w:p>
    <w:p>
      <w:pPr>
        <w:pStyle w:val="ListParagraph"/>
        <w:numPr>
          <w:ilvl w:val="0"/>
          <w:numId w:val="1"/>
        </w:numPr>
        <w:spacing w:lineRule="exact" w:line="290" w:before="0" w:after="90"/>
        <w:rPr/>
      </w:pPr>
      <w:r>
        <w:rPr/>
        <w:t>One-click demo accounts for instantly switching between all five roles during a live walkthrough.</w:t>
      </w:r>
    </w:p>
    <w:p>
      <w:pPr>
        <w:pStyle w:val="Heading2"/>
        <w:rPr/>
      </w:pPr>
      <w:r>
        <w:rPr/>
        <w:t>4</w:t>
      </w:r>
      <w:r>
        <w:rPr/>
        <w:t>.4  Engineering Quality</w:t>
      </w:r>
    </w:p>
    <w:p>
      <w:pPr>
        <w:pStyle w:val="ListParagraph"/>
        <w:numPr>
          <w:ilvl w:val="0"/>
          <w:numId w:val="1"/>
        </w:numPr>
        <w:spacing w:lineRule="exact" w:line="290" w:before="0" w:after="90"/>
        <w:rPr/>
      </w:pPr>
      <w:r>
        <w:rPr/>
        <w:t>Clean separation of concerns: a single fetch wrapper for all API calls, one Prisma schema as the single source of truth, and a reusable risk-engine module shared by creation, approval, and seeding flows.</w:t>
      </w:r>
    </w:p>
    <w:p>
      <w:pPr>
        <w:pStyle w:val="ListParagraph"/>
        <w:numPr>
          <w:ilvl w:val="0"/>
          <w:numId w:val="1"/>
        </w:numPr>
        <w:spacing w:lineRule="exact" w:line="290" w:before="0" w:after="90"/>
        <w:rPr/>
      </w:pPr>
      <w:r>
        <w:rPr/>
        <w:t>Defensive coding throughout — self-approval blocked server-side, role checks duplicated at route and UI layers, and every AI suggestion clamped to safe bounds before use.</w:t>
      </w:r>
    </w:p>
    <w:p>
      <w:pPr>
        <w:pStyle w:val="ListParagraph"/>
        <w:numPr>
          <w:ilvl w:val="0"/>
          <w:numId w:val="1"/>
        </w:numPr>
        <w:spacing w:lineRule="exact" w:line="290" w:before="0" w:after="90"/>
        <w:rPr/>
      </w:pPr>
      <w:r>
        <w:rPr/>
        <w:t>Modern, enterprise-grade dark UI built with Tailwind CSS and lucide-react icons, fully responsive across screen sizes.</w:t>
      </w:r>
    </w:p>
    <w:p>
      <w:pPr>
        <w:pStyle w:val="Normal"/>
        <w:rPr/>
      </w:pPr>
      <w:r>
        <w:rPr/>
      </w:r>
      <w:r>
        <w:br w:type="page"/>
      </w:r>
    </w:p>
    <w:p>
      <w:pPr>
        <w:pStyle w:val="Heading1"/>
        <w:spacing w:before="0" w:after="200"/>
        <w:rPr/>
      </w:pPr>
      <w:r>
        <w:rPr/>
        <w:t>5</w:t>
      </w:r>
      <w:r>
        <w:rPr/>
        <w:t>.  Technology Stack</w:t>
      </w:r>
    </w:p>
    <w:tbl>
      <w:tblPr>
        <w:tblW w:w="9360" w:type="dxa"/>
        <w:jc w:val="left"/>
        <w:tblInd w:w="0" w:type="dxa"/>
        <w:tblLayout w:type="fixed"/>
        <w:tblCellMar>
          <w:top w:w="100" w:type="dxa"/>
          <w:left w:w="140" w:type="dxa"/>
          <w:bottom w:w="100" w:type="dxa"/>
          <w:right w:w="140" w:type="dxa"/>
        </w:tblCellMar>
      </w:tblPr>
      <w:tblGrid>
        <w:gridCol w:w="3300"/>
        <w:gridCol w:w="6059"/>
      </w:tblGrid>
      <w:tr>
        <w:trPr/>
        <w:tc>
          <w:tcPr>
            <w:tcW w:w="3300"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Layer</w:t>
            </w:r>
          </w:p>
        </w:tc>
        <w:tc>
          <w:tcPr>
            <w:tcW w:w="6059"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Technology</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Frontend</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React 18 + Vite, React Router v6, Context API, Tailwind CSS, Recharts, lucide-react</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Backend</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Node.js + Express</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Database / ORM</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PostgreSQL + Prisma</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Authentication</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JSON Web Tokens (JWT), bcrypt password hashing</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AI Advisory Layer</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Google Gemini (gemini-2.0-flash) with deterministic, fail-soft fallback</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Scheduled Jobs</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node-cron — expiry checks, notification cadence, hourly anomaly detection</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Document Generation</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PDFKit — audit log &amp; report exports</w:t>
            </w:r>
          </w:p>
        </w:tc>
      </w:tr>
      <w:tr>
        <w:trPr/>
        <w:tc>
          <w:tcPr>
            <w:tcW w:w="330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Email Delivery</w:t>
            </w:r>
          </w:p>
        </w:tc>
        <w:tc>
          <w:tcPr>
            <w:tcW w:w="605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Nodemailer (console-mock fallback in development)</w:t>
            </w:r>
          </w:p>
        </w:tc>
      </w:tr>
    </w:tbl>
    <w:p>
      <w:pPr>
        <w:pStyle w:val="Normal"/>
        <w:rPr/>
      </w:pPr>
      <w:r>
        <w:rPr/>
      </w:r>
      <w:r>
        <w:br w:type="page"/>
      </w:r>
    </w:p>
    <w:p>
      <w:pPr>
        <w:pStyle w:val="Heading1"/>
        <w:spacing w:before="0" w:after="200"/>
        <w:rPr/>
      </w:pPr>
      <w:r>
        <w:rPr/>
        <w:t>6</w:t>
      </w:r>
      <w:r>
        <w:rPr/>
        <w:t>.  Getting Started / Installation</w:t>
      </w:r>
    </w:p>
    <w:p>
      <w:pPr>
        <w:pStyle w:val="Normal"/>
        <w:spacing w:lineRule="exact" w:line="300" w:before="0" w:after="160"/>
        <w:rPr/>
      </w:pPr>
      <w:r>
        <w:rPr/>
        <w:t>Full, step-by-step setup instructions — prerequisites, environment variables, database migration, demo-data seeding, and run commands for both the frontend and backend — are documented directly in the project’s README files. Please refer to these for the complete installation guide:</w:t>
      </w:r>
    </w:p>
    <w:p>
      <w:pPr>
        <w:pStyle w:val="ListParagraph"/>
        <w:numPr>
          <w:ilvl w:val="0"/>
          <w:numId w:val="1"/>
        </w:numPr>
        <w:spacing w:lineRule="exact" w:line="290" w:before="0" w:after="90"/>
        <w:rPr/>
      </w:pPr>
      <w:r>
        <w:rPr/>
        <w:t>sentinel-frontend/README.md — frontend setup, folder structure, and run/build commands.</w:t>
      </w:r>
    </w:p>
    <w:p>
      <w:pPr>
        <w:pStyle w:val="ListParagraph"/>
        <w:numPr>
          <w:ilvl w:val="0"/>
          <w:numId w:val="1"/>
        </w:numPr>
        <w:spacing w:lineRule="exact" w:line="290" w:before="0" w:after="90"/>
        <w:rPr/>
      </w:pPr>
      <w:r>
        <w:rPr/>
        <w:t>socgen-backend/README.md — backend setup, Prisma migration &amp; seeding, full API reference, risk-engine and anomaly-rule specification.</w:t>
      </w:r>
    </w:p>
    <w:p>
      <w:pPr>
        <w:pStyle w:val="Normal"/>
        <w:spacing w:lineRule="exact" w:line="300" w:before="0" w:after="160"/>
        <w:rPr/>
      </w:pPr>
      <w:r>
        <w:rPr/>
        <w:t>Both applications are designed to run together locally in under five minutes: install dependencies, configure the database connection, run the Prisma migration and seed script, then start the backend and frontend dev servers.</w:t>
      </w:r>
    </w:p>
    <w:p>
      <w:pPr>
        <w:pStyle w:val="Heading2"/>
        <w:rPr/>
      </w:pPr>
      <w:r>
        <w:rPr/>
        <w:t>Demo Accounts</w:t>
      </w:r>
    </w:p>
    <w:p>
      <w:pPr>
        <w:pStyle w:val="Normal"/>
        <w:spacing w:lineRule="exact" w:line="300" w:before="0" w:after="160"/>
        <w:rPr/>
      </w:pPr>
      <w:r>
        <w:rPr/>
        <w:t>All demo accounts share the password password123, and can be selected with a single click from the login screen:</w:t>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Email</w:t>
            </w:r>
          </w:p>
        </w:tc>
        <w:tc>
          <w:tcPr>
            <w:tcW w:w="4679" w:type="dxa"/>
            <w:tcBorders>
              <w:top w:val="single" w:sz="2" w:space="0" w:color="D9D9D9"/>
              <w:left w:val="single" w:sz="2" w:space="0" w:color="D9D9D9"/>
              <w:bottom w:val="single" w:sz="2" w:space="0" w:color="D9D9D9"/>
              <w:right w:val="single" w:sz="2" w:space="0" w:color="D9D9D9"/>
            </w:tcBorders>
            <w:shd w:fill="C8102E" w:val="clear"/>
            <w:vAlign w:val="center"/>
          </w:tcPr>
          <w:p>
            <w:pPr>
              <w:pStyle w:val="Normal"/>
              <w:rPr/>
            </w:pPr>
            <w:r>
              <w:rPr>
                <w:b/>
                <w:bCs/>
                <w:color w:val="FFFFFF"/>
                <w:sz w:val="21"/>
                <w:szCs w:val="21"/>
              </w:rPr>
              <w:t>Role</w:t>
            </w:r>
          </w:p>
        </w:tc>
      </w:tr>
      <w:tr>
        <w:trPr/>
        <w:tc>
          <w:tcPr>
            <w:tcW w:w="468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admin@socgen.local</w:t>
            </w:r>
          </w:p>
        </w:tc>
        <w:tc>
          <w:tcPr>
            <w:tcW w:w="467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Admin</w:t>
            </w:r>
          </w:p>
        </w:tc>
      </w:tr>
      <w:tr>
        <w:trPr/>
        <w:tc>
          <w:tcPr>
            <w:tcW w:w="468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requester@socgen.local</w:t>
            </w:r>
          </w:p>
        </w:tc>
        <w:tc>
          <w:tcPr>
            <w:tcW w:w="467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Requester</w:t>
            </w:r>
          </w:p>
        </w:tc>
      </w:tr>
      <w:tr>
        <w:trPr/>
        <w:tc>
          <w:tcPr>
            <w:tcW w:w="468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manager@socgen.local</w:t>
            </w:r>
          </w:p>
        </w:tc>
        <w:tc>
          <w:tcPr>
            <w:tcW w:w="467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Approver</w:t>
            </w:r>
          </w:p>
        </w:tc>
      </w:tr>
      <w:tr>
        <w:trPr/>
        <w:tc>
          <w:tcPr>
            <w:tcW w:w="468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security@socgen.local</w:t>
            </w:r>
          </w:p>
        </w:tc>
        <w:tc>
          <w:tcPr>
            <w:tcW w:w="467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Security Reviewer</w:t>
            </w:r>
          </w:p>
        </w:tc>
      </w:tr>
      <w:tr>
        <w:trPr/>
        <w:tc>
          <w:tcPr>
            <w:tcW w:w="4680" w:type="dxa"/>
            <w:tcBorders>
              <w:top w:val="single" w:sz="2" w:space="0" w:color="D9D9D9"/>
              <w:left w:val="single" w:sz="2" w:space="0" w:color="D9D9D9"/>
              <w:bottom w:val="single" w:sz="2" w:space="0" w:color="D9D9D9"/>
              <w:right w:val="single" w:sz="2" w:space="0" w:color="D9D9D9"/>
            </w:tcBorders>
            <w:shd w:fill="F2F2F2" w:val="clear"/>
            <w:vAlign w:val="center"/>
          </w:tcPr>
          <w:p>
            <w:pPr>
              <w:pStyle w:val="Normal"/>
              <w:rPr/>
            </w:pPr>
            <w:r>
              <w:rPr>
                <w:b/>
                <w:bCs/>
                <w:color w:val="000000"/>
                <w:sz w:val="21"/>
                <w:szCs w:val="21"/>
              </w:rPr>
              <w:t>auditor@socgen.local</w:t>
            </w:r>
          </w:p>
        </w:tc>
        <w:tc>
          <w:tcPr>
            <w:tcW w:w="4679" w:type="dxa"/>
            <w:tcBorders>
              <w:top w:val="single" w:sz="2" w:space="0" w:color="D9D9D9"/>
              <w:left w:val="single" w:sz="2" w:space="0" w:color="D9D9D9"/>
              <w:bottom w:val="single" w:sz="2" w:space="0" w:color="D9D9D9"/>
              <w:right w:val="single" w:sz="2" w:space="0" w:color="D9D9D9"/>
            </w:tcBorders>
            <w:vAlign w:val="center"/>
          </w:tcPr>
          <w:p>
            <w:pPr>
              <w:pStyle w:val="Normal"/>
              <w:rPr/>
            </w:pPr>
            <w:r>
              <w:rPr>
                <w:b w:val="false"/>
                <w:bCs w:val="false"/>
                <w:color w:val="000000"/>
                <w:sz w:val="21"/>
                <w:szCs w:val="21"/>
              </w:rPr>
              <w:t>Auditor</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Page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999999"/>
        <w:sz w:val="16"/>
        <w:szCs w:val="16"/>
      </w:rPr>
      <w:t>Exceptra</w:t>
    </w:r>
    <w:r>
      <w:rPr>
        <w:color w:val="999999"/>
        <w:sz w:val="16"/>
        <w:szCs w:val="16"/>
      </w:rPr>
      <w:t xml:space="preserve"> —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999999"/>
        <w:sz w:val="16"/>
        <w:szCs w:val="16"/>
      </w:rPr>
      <w:t>Exceptra</w:t>
    </w:r>
    <w:r>
      <w:rPr>
        <w:color w:val="999999"/>
        <w:sz w:val="16"/>
        <w:szCs w:val="16"/>
      </w:rPr>
      <w:t xml:space="preserve"> —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pBdr>
        <w:bottom w:val="single" w:sz="8" w:space="4" w:color="C8102E"/>
      </w:pBdr>
      <w:spacing w:before="420" w:after="200"/>
      <w:outlineLvl w:val="0"/>
    </w:pPr>
    <w:rPr>
      <w:rFonts w:ascii="Calibri" w:hAnsi="Calibri" w:eastAsia="Calibri" w:cs="Calibri"/>
      <w:b/>
      <w:bCs/>
      <w:color w:val="1A1A1A"/>
      <w:sz w:val="34"/>
      <w:szCs w:val="34"/>
    </w:rPr>
  </w:style>
  <w:style w:type="paragraph" w:styleId="Heading2">
    <w:name w:val="Heading 2"/>
    <w:basedOn w:val="Heading"/>
    <w:qFormat/>
    <w:pPr>
      <w:spacing w:before="260" w:after="140"/>
      <w:outlineLvl w:val="1"/>
    </w:pPr>
    <w:rPr>
      <w:rFonts w:ascii="Calibri" w:hAnsi="Calibri" w:eastAsia="Calibri" w:cs="Calibri"/>
      <w:b/>
      <w:bCs/>
      <w:color w:val="C8102E"/>
      <w:sz w:val="26"/>
      <w:szCs w:val="26"/>
    </w:rPr>
  </w:style>
  <w:style w:type="paragraph" w:styleId="Heading3">
    <w:name w:val="Heading 3"/>
    <w:basedOn w:val="Heading"/>
    <w:qFormat/>
    <w:pPr>
      <w:spacing w:before="200" w:after="100"/>
      <w:outlineLvl w:val="2"/>
    </w:pPr>
    <w:rPr>
      <w:rFonts w:ascii="Calibri" w:hAnsi="Calibri" w:eastAsia="Calibri" w:cs="Calibri"/>
      <w:b/>
      <w:bCs/>
      <w:color w:val="1A1A1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LibreOffice/24.2.7.2$Linux_X86_64 LibreOffice_project/420$Build-2</Application>
  <AppVersion>15.0000</AppVersion>
  <Pages>9</Pages>
  <Words>1843</Words>
  <Characters>11173</Characters>
  <CharactersWithSpaces>12894</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2026-06-21T15:36:37Z</dcterms:created>
  <dc:creator>Un-named</dc:creator>
  <dc:description/>
  <dc:language>en-US</dc:language>
  <cp:lastModifiedBy/>
  <dcterms:modified xsi:type="dcterms:W3CDTF">2026-06-21T21:55:15Z</dcterms:modified>
  <cp:revision>9</cp:revision>
  <dc:subject/>
  <dc:title/>
</cp:coreProperties>
</file>