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2"/>
      </w:tblGrid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/>
              <w:drawing>
                <wp:inline distT="0" distB="0" distL="0" distR="0">
                  <wp:extent cx="1619250" cy="67627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jc w:val="right"/>
              <w:rPr/>
            </w:pPr>
            <w:r>
              <w:rPr/>
              <w:drawing>
                <wp:inline distT="0" distB="0" distL="0" distR="0">
                  <wp:extent cx="1047750" cy="48577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300" w:after="300"/>
        <w:jc w:val="center"/>
        <w:rPr/>
      </w:pPr>
      <w:r>
        <w:rPr>
          <w:b/>
          <w:bCs/>
          <w:sz w:val="28"/>
          <w:szCs w:val="28"/>
        </w:rPr>
        <w:t>Problem-Solution Fit</w:t>
      </w:r>
    </w:p>
    <w:tbl>
      <w:tblPr>
        <w:tblW w:w="974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99"/>
        <w:gridCol w:w="6746"/>
      </w:tblGrid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03-07-</w:t>
            </w:r>
            <w:r>
              <w:rPr/>
              <w:t xml:space="preserve"> 2026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Smart Agricultural Production Optimization Engine (OptiCrop)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 Marks</w:t>
            </w:r>
          </w:p>
        </w:tc>
      </w:tr>
    </w:tbl>
    <w:p>
      <w:pPr>
        <w:pStyle w:val="Normal"/>
        <w:spacing w:before="240" w:after="100"/>
        <w:rPr/>
      </w:pPr>
      <w:r>
        <w:rPr>
          <w:b/>
          <w:bCs/>
        </w:rPr>
        <w:t>Problem-Solution Fit Canvas:</w:t>
      </w:r>
    </w:p>
    <w:p>
      <w:pPr>
        <w:pStyle w:val="Normal"/>
        <w:spacing w:before="0" w:after="200"/>
        <w:rPr/>
      </w:pPr>
      <w:r>
        <w:rPr/>
        <w:t>The canvas below shows how the OptiCrop solution addresses the root causes, behaviors, and limitations of its target audience.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1. CUSTOMER SEGMENT(S) [CS]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Smallholder and mid-size farmers; agricultural researchers; government and policy planners.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6. CUSTOMER LIMITATIONS [CL]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sz w:val="15"/>
                <w:szCs w:val="15"/>
              </w:rPr>
              <w:t>EG. BUDGET, DEVICES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Limited budget for paid agronomist advisory; basic smartphone or desktop access; limited internet connectivity in some rural areas.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5. AVAILABLE SOLUTIONS [AS]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sz w:val="15"/>
                <w:szCs w:val="15"/>
              </w:rPr>
              <w:t>PROS &amp; CONS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Agronomist consultation (accurate, but expensive and slow); generic government advisories (free, but not field-specific); other crop apps (mixed accuracy, often paid or region-locked).</w:t>
            </w:r>
          </w:p>
        </w:tc>
      </w:tr>
      <w:tr>
        <w:trPr/>
        <w:tc>
          <w:tcPr>
            <w:tcW w:w="3248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2. PROBLEMS / PAINS [PR]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sz w:val="15"/>
                <w:szCs w:val="15"/>
              </w:rPr>
              <w:t>+ ITS FREQUENCY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Farmers repeatedly choose crops based on tradition or guesswork rather than current soil and climate data, leading to suboptimal yields each season.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9. PROBLEM ROOT / CAUSE [RC]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Lack of an accessible, low-cost, data-driven tool that translates raw soil and climate readings into an actionable crop decision.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7. BEHAVIOR [BE]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sz w:val="15"/>
                <w:szCs w:val="15"/>
              </w:rPr>
              <w:t>+ ITS INTENSITY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Farmers actively seek soil testing and crop advice each planting season; moderate willingness to try low-cost digital tools if they are simple to use.</w:t>
            </w:r>
          </w:p>
        </w:tc>
      </w:tr>
      <w:tr>
        <w:trPr/>
        <w:tc>
          <w:tcPr>
            <w:tcW w:w="3248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3. TRIGGERS TO ACT [TR]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Start of a new planting season; a poor yield in the previous season; receiving a soil test report.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10. YOUR SOLUTION [SL]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OptiCrop — a free, Flask-based web tool where users enter N, P, K, temperature, humidity, pH, and rainfall and instantly receive an ML-backed crop recommendation or suitability assessment.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8. CHANNELS OF BEHAVIOR [CH]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sz w:val="15"/>
                <w:szCs w:val="15"/>
              </w:rPr>
              <w:t>ONLINE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Agricultural forums, YouTube, government portals.</w:t>
            </w:r>
          </w:p>
        </w:tc>
      </w:tr>
      <w:tr>
        <w:trPr/>
        <w:tc>
          <w:tcPr>
            <w:tcW w:w="3248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8"/>
                <w:szCs w:val="18"/>
              </w:rPr>
              <w:t>4. EMOTIONS [EM]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sz w:val="15"/>
                <w:szCs w:val="15"/>
              </w:rPr>
              <w:t>BEFORE / AFTER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Before: uncertainty and financial anxiety about crop choice. After: confidence and a greater sense of control over expected yield.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sz w:val="15"/>
                <w:szCs w:val="15"/>
              </w:rPr>
              <w:t>OFFLINE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7"/>
                <w:szCs w:val="17"/>
              </w:rPr>
              <w:t>Local agri-input dealers, extension officers, word of mouth.</w:t>
            </w:r>
          </w:p>
        </w:tc>
      </w:tr>
    </w:tbl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294</Words>
  <Characters>1715</Characters>
  <CharactersWithSpaces>1972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2026-07-05T12:14:29Z</dcterms:created>
  <dc:creator>Un-named</dc:creator>
  <dc:description/>
  <dc:language>en-IN</dc:language>
  <cp:lastModifiedBy/>
  <dcterms:modified xsi:type="dcterms:W3CDTF">2026-07-05T18:19:18Z</dcterms:modified>
  <cp:revision>2</cp:revision>
  <dc:subject/>
  <dc:title/>
</cp:coreProperties>
</file>