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5B6472"/>
          <w:sz w:val="20"/>
          <w:szCs w:val="20"/>
        </w:rPr>
        <w:t xml:space="preserve">MICROBIAL DARK MATTER — RESEARCH BLUEPRINT</w:t>
      </w:r>
    </w:p>
    <w:p>
      <w:pPr>
        <w:spacing w:after="40" w:before="260"/>
        <w:jc w:val="center"/>
      </w:pPr>
      <w:r>
        <w:rPr>
          <w:rFonts w:ascii="Calibri" w:cs="Calibri" w:eastAsia="Calibri" w:hAnsi="Calibri"/>
          <w:b/>
          <w:bCs/>
          <w:color w:val="1D4ED8"/>
          <w:sz w:val="22"/>
          <w:szCs w:val="22"/>
        </w:rPr>
        <w:t xml:space="preserve">RESEARCH PROJECT BLUEPRINT</w:t>
      </w:r>
    </w:p>
    <w:p>
      <w:pPr>
        <w:spacing w:after="300" w:before="120"/>
        <w:jc w:val="center"/>
      </w:pPr>
      <w:r>
        <w:rPr>
          <w:rFonts w:ascii="Calibri" w:cs="Calibri" w:eastAsia="Calibri" w:hAnsi="Calibri"/>
          <w:b/>
          <w:bCs/>
          <w:color w:val="16233F"/>
          <w:sz w:val="46"/>
          <w:szCs w:val="46"/>
        </w:rPr>
        <w:t xml:space="preserve">ILLUMINATING MICROBIAL DARK MATTER</w:t>
      </w:r>
    </w:p>
    <w:p>
      <w:pPr>
        <w:spacing w:after="500"/>
        <w:jc w:val="center"/>
      </w:pPr>
      <w:r>
        <w:rPr>
          <w:rFonts w:ascii="Calibri" w:cs="Calibri" w:eastAsia="Calibri" w:hAnsi="Calibri"/>
          <w:i/>
          <w:iCs/>
          <w:color w:val="5B6472"/>
          <w:sz w:val="24"/>
          <w:szCs w:val="24"/>
        </w:rPr>
        <w:t xml:space="preserve">A methodological blueprint for structure- and novelty-aware detection of uncharacterized microbial sequence function</w:t>
      </w:r>
    </w:p>
    <w:p>
      <w:pPr>
        <w:spacing w:after="60"/>
        <w:jc w:val="center"/>
      </w:pPr>
      <w:r>
        <w:rPr>
          <w:rFonts w:ascii="Calibri" w:cs="Calibri" w:eastAsia="Calibri" w:hAnsi="Calibri"/>
          <w:color w:val="5B6472"/>
          <w:sz w:val="20"/>
          <w:szCs w:val="20"/>
        </w:rPr>
        <w:t xml:space="preserve">Prepared for</w:t>
      </w:r>
    </w:p>
    <w:p>
      <w:pPr>
        <w:spacing w:after="20"/>
        <w:jc w:val="center"/>
      </w:pPr>
      <w:r>
        <w:rPr>
          <w:rFonts w:ascii="Calibri" w:cs="Calibri" w:eastAsia="Calibri" w:hAnsi="Calibri"/>
          <w:b/>
          <w:bCs/>
          <w:color w:val="16233F"/>
          <w:sz w:val="24"/>
          <w:szCs w:val="24"/>
        </w:rPr>
        <w:t xml:space="preserve">Angshuman Chakravertty</w:t>
      </w:r>
    </w:p>
    <w:p>
      <w:pPr>
        <w:spacing w:after="500"/>
        <w:jc w:val="center"/>
      </w:pPr>
      <w:r>
        <w:rPr>
          <w:rFonts w:ascii="Calibri" w:cs="Calibri" w:eastAsia="Calibri" w:hAnsi="Calibri"/>
          <w:color w:val="5B6472"/>
          <w:sz w:val="20"/>
          <w:szCs w:val="20"/>
        </w:rPr>
        <w:t xml:space="preserve">Final-Year B.Tech, Computer Science &amp; Engineering (Data Science) · MPSTME, NMIMS Hyderabad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3240"/>
            <w:shd w:fill="F3F5F9" w:val="clear"/>
            <w:tcMar>
              <w:top w:type="dxa" w:w="200"/>
              <w:left w:type="dxa" w:w="120"/>
              <w:bottom w:type="dxa" w:w="200"/>
              <w:right w:type="dxa" w:w="120"/>
            </w:tcMar>
          </w:tcPr>
          <w:p>
            <w:pPr>
              <w:spacing w:after="40"/>
              <w:jc w:val="center"/>
            </w:pPr>
            <w:r>
              <w:rPr>
                <w:rFonts w:ascii="Calibri" w:cs="Calibri" w:eastAsia="Calibri" w:hAnsi="Calibri"/>
                <w:b/>
                <w:bCs/>
                <w:color w:val="1D4ED8"/>
                <w:sz w:val="36"/>
                <w:szCs w:val="36"/>
              </w:rPr>
              <w:t xml:space="preserve">5</w:t>
            </w:r>
          </w:p>
          <w:p>
            <w:pPr>
              <w:jc w:val="center"/>
            </w:pPr>
            <w:r>
              <w:rPr>
                <w:rFonts w:ascii="Calibri" w:cs="Calibri" w:eastAsia="Calibri" w:hAnsi="Calibri"/>
                <w:color w:val="5B6472"/>
                <w:sz w:val="18"/>
                <w:szCs w:val="18"/>
              </w:rPr>
              <w:t xml:space="preserve">candidate approaches</w:t>
            </w:r>
          </w:p>
        </w:tc>
        <w:tc>
          <w:tcPr>
            <w:tcW w:type="dxa" w:w="3240"/>
            <w:shd w:fill="F3F5F9" w:val="clear"/>
            <w:tcMar>
              <w:top w:type="dxa" w:w="200"/>
              <w:left w:type="dxa" w:w="120"/>
              <w:bottom w:type="dxa" w:w="200"/>
              <w:right w:type="dxa" w:w="120"/>
            </w:tcMar>
          </w:tcPr>
          <w:p>
            <w:pPr>
              <w:spacing w:after="40"/>
              <w:jc w:val="center"/>
            </w:pPr>
            <w:r>
              <w:rPr>
                <w:rFonts w:ascii="Calibri" w:cs="Calibri" w:eastAsia="Calibri" w:hAnsi="Calibri"/>
                <w:b/>
                <w:bCs/>
                <w:color w:val="1D4ED8"/>
                <w:sz w:val="36"/>
                <w:szCs w:val="36"/>
              </w:rPr>
              <w:t xml:space="preserve">2</w:t>
            </w:r>
          </w:p>
          <w:p>
            <w:pPr>
              <w:jc w:val="center"/>
            </w:pPr>
            <w:r>
              <w:rPr>
                <w:rFonts w:ascii="Calibri" w:cs="Calibri" w:eastAsia="Calibri" w:hAnsi="Calibri"/>
                <w:color w:val="5B6472"/>
                <w:sz w:val="18"/>
                <w:szCs w:val="18"/>
              </w:rPr>
              <w:t xml:space="preserve">work tracks</w:t>
            </w:r>
          </w:p>
        </w:tc>
        <w:tc>
          <w:tcPr>
            <w:tcW w:type="dxa" w:w="3240"/>
            <w:shd w:fill="F3F5F9" w:val="clear"/>
            <w:tcMar>
              <w:top w:type="dxa" w:w="200"/>
              <w:left w:type="dxa" w:w="120"/>
              <w:bottom w:type="dxa" w:w="200"/>
              <w:right w:type="dxa" w:w="120"/>
            </w:tcMar>
          </w:tcPr>
          <w:p>
            <w:pPr>
              <w:spacing w:after="40"/>
              <w:jc w:val="center"/>
            </w:pPr>
            <w:r>
              <w:rPr>
                <w:rFonts w:ascii="Calibri" w:cs="Calibri" w:eastAsia="Calibri" w:hAnsi="Calibri"/>
                <w:b/>
                <w:bCs/>
                <w:color w:val="1D4ED8"/>
                <w:sz w:val="36"/>
                <w:szCs w:val="36"/>
              </w:rPr>
              <w:t xml:space="preserve">12</w:t>
            </w:r>
          </w:p>
          <w:p>
            <w:pPr>
              <w:jc w:val="center"/>
            </w:pPr>
            <w:r>
              <w:rPr>
                <w:rFonts w:ascii="Calibri" w:cs="Calibri" w:eastAsia="Calibri" w:hAnsi="Calibri"/>
                <w:color w:val="5B6472"/>
                <w:sz w:val="18"/>
                <w:szCs w:val="18"/>
              </w:rPr>
              <w:t xml:space="preserve">week plan</w:t>
            </w:r>
          </w:p>
        </w:tc>
      </w:tr>
    </w:tbl>
    <w:p>
      <w:pPr>
        <w:spacing w:after="400"/>
      </w:pPr>
    </w:p>
    <w:p>
      <w:pPr>
        <w:spacing w:after="0"/>
        <w:jc w:val="center"/>
      </w:pPr>
      <w:r>
        <w:rPr>
          <w:rFonts w:ascii="Calibri" w:cs="Calibri" w:eastAsia="Calibri" w:hAnsi="Calibri"/>
          <w:i/>
          <w:iCs/>
          <w:color w:val="5B6472"/>
          <w:sz w:val="19"/>
          <w:szCs w:val="19"/>
        </w:rPr>
        <w:t xml:space="preserve">Document structure — each section presents the governing methodology followed by supporting technical and conceptual detail, with a dedicated project-organization section (§8) specifying the division of responsibilities between contributors.</w:t>
      </w:r>
    </w:p>
    <w:p>
      <w:r>
        <w:br w:type="page"/>
      </w:r>
    </w:p>
    <w:p>
      <w:pPr>
        <w:spacing w:after="240"/>
      </w:pPr>
      <w:r>
        <w:rPr>
          <w:rFonts w:ascii="Calibri" w:cs="Calibri" w:eastAsia="Calibri" w:hAnsi="Calibri"/>
          <w:b/>
          <w:bCs/>
          <w:color w:val="16233F"/>
          <w:sz w:val="30"/>
          <w:szCs w:val="30"/>
        </w:rPr>
        <w:t xml:space="preserve">TABLE OF CONTENTS</w:t>
      </w:r>
    </w:p>
    <w:p>
      <w:pPr>
        <w:spacing w:after="110"/>
      </w:pPr>
      <w:r>
        <w:rPr>
          <w:rFonts w:ascii="Calibri" w:cs="Calibri" w:eastAsia="Calibri" w:hAnsi="Calibri"/>
          <w:color w:val="1F2937"/>
          <w:sz w:val="22"/>
          <w:szCs w:val="22"/>
        </w:rPr>
        <w:t xml:space="preserve">1  Problem Statement and Motivation</w:t>
      </w:r>
    </w:p>
    <w:p>
      <w:pPr>
        <w:spacing w:after="110"/>
      </w:pPr>
      <w:r>
        <w:rPr>
          <w:rFonts w:ascii="Calibri" w:cs="Calibri" w:eastAsia="Calibri" w:hAnsi="Calibri"/>
          <w:color w:val="1F2937"/>
          <w:sz w:val="22"/>
          <w:szCs w:val="22"/>
        </w:rPr>
        <w:t xml:space="preserve">2  Conceptual Foundations</w:t>
      </w:r>
    </w:p>
    <w:p>
      <w:pPr>
        <w:spacing w:after="110"/>
      </w:pPr>
      <w:r>
        <w:rPr>
          <w:rFonts w:ascii="Calibri" w:cs="Calibri" w:eastAsia="Calibri" w:hAnsi="Calibri"/>
          <w:color w:val="1F2937"/>
          <w:sz w:val="22"/>
          <w:szCs w:val="22"/>
        </w:rPr>
        <w:t xml:space="preserve">3  Related Work and State of the Art</w:t>
      </w:r>
    </w:p>
    <w:p>
      <w:pPr>
        <w:spacing w:after="110"/>
      </w:pPr>
      <w:r>
        <w:rPr>
          <w:rFonts w:ascii="Calibri" w:cs="Calibri" w:eastAsia="Calibri" w:hAnsi="Calibri"/>
          <w:color w:val="1F2937"/>
          <w:sz w:val="22"/>
          <w:szCs w:val="22"/>
        </w:rPr>
        <w:t xml:space="preserve">4  Cross-Domain Methodological Parallels</w:t>
      </w:r>
    </w:p>
    <w:p>
      <w:pPr>
        <w:spacing w:after="110"/>
      </w:pPr>
      <w:r>
        <w:rPr>
          <w:rFonts w:ascii="Calibri" w:cs="Calibri" w:eastAsia="Calibri" w:hAnsi="Calibri"/>
          <w:color w:val="1F2937"/>
          <w:sz w:val="22"/>
          <w:szCs w:val="22"/>
        </w:rPr>
        <w:t xml:space="preserve">5  Biological Rationale</w:t>
      </w:r>
    </w:p>
    <w:p>
      <w:pPr>
        <w:spacing w:after="110"/>
      </w:pPr>
      <w:r>
        <w:rPr>
          <w:rFonts w:ascii="Calibri" w:cs="Calibri" w:eastAsia="Calibri" w:hAnsi="Calibri"/>
          <w:color w:val="1F2937"/>
          <w:sz w:val="22"/>
          <w:szCs w:val="22"/>
        </w:rPr>
        <w:t xml:space="preserve">6  Candidate Solution Architectures</w:t>
      </w:r>
    </w:p>
    <w:p>
      <w:pPr>
        <w:spacing w:after="110"/>
      </w:pPr>
      <w:r>
        <w:rPr>
          <w:rFonts w:ascii="Calibri" w:cs="Calibri" w:eastAsia="Calibri" w:hAnsi="Calibri"/>
          <w:color w:val="1F2937"/>
          <w:sz w:val="22"/>
          <w:szCs w:val="22"/>
        </w:rPr>
        <w:t xml:space="preserve">7  Recommended Approach</w:t>
      </w:r>
    </w:p>
    <w:p>
      <w:pPr>
        <w:spacing w:after="110"/>
      </w:pPr>
      <w:r>
        <w:rPr>
          <w:rFonts w:ascii="Calibri" w:cs="Calibri" w:eastAsia="Calibri" w:hAnsi="Calibri"/>
          <w:color w:val="1F2937"/>
          <w:sz w:val="22"/>
          <w:szCs w:val="22"/>
        </w:rPr>
        <w:t xml:space="preserve">8  Project Organization and Work Division</w:t>
      </w:r>
    </w:p>
    <w:p>
      <w:pPr>
        <w:spacing w:after="110"/>
      </w:pPr>
      <w:r>
        <w:rPr>
          <w:rFonts w:ascii="Calibri" w:cs="Calibri" w:eastAsia="Calibri" w:hAnsi="Calibri"/>
          <w:color w:val="1F2937"/>
          <w:sz w:val="22"/>
          <w:szCs w:val="22"/>
        </w:rPr>
        <w:t xml:space="preserve">9  Computational Resource Allocation</w:t>
      </w:r>
    </w:p>
    <w:p>
      <w:pPr>
        <w:spacing w:after="110"/>
      </w:pPr>
      <w:r>
        <w:rPr>
          <w:rFonts w:ascii="Calibri" w:cs="Calibri" w:eastAsia="Calibri" w:hAnsi="Calibri"/>
          <w:color w:val="1F2937"/>
          <w:sz w:val="22"/>
          <w:szCs w:val="22"/>
        </w:rPr>
        <w:t xml:space="preserve">10  Limitations and Risk Assessment</w:t>
      </w:r>
    </w:p>
    <w:p>
      <w:pPr>
        <w:spacing w:after="110"/>
      </w:pPr>
      <w:r>
        <w:rPr>
          <w:rFonts w:ascii="Calibri" w:cs="Calibri" w:eastAsia="Calibri" w:hAnsi="Calibri"/>
          <w:color w:val="1F2937"/>
          <w:sz w:val="22"/>
          <w:szCs w:val="22"/>
        </w:rPr>
        <w:t xml:space="preserve">11  Glossary of Terms</w:t>
      </w:r>
    </w:p>
    <w:p>
      <w:pPr>
        <w:spacing w:after="110"/>
      </w:pPr>
      <w:r>
        <w:rPr>
          <w:rFonts w:ascii="Calibri" w:cs="Calibri" w:eastAsia="Calibri" w:hAnsi="Calibri"/>
          <w:color w:val="1F2937"/>
          <w:sz w:val="22"/>
          <w:szCs w:val="22"/>
        </w:rPr>
        <w:t xml:space="preserve">12  References</w:t>
      </w:r>
    </w:p>
    <w:p>
      <w:pPr>
        <w:spacing w:after="300"/>
      </w:pP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READERSHIP</w:t>
            </w:r>
          </w:p>
          <w:p>
            <w:pPr>
              <w:spacing w:after="0"/>
            </w:pPr>
            <w:r>
              <w:rPr>
                <w:rFonts w:ascii="Calibri" w:cs="Calibri" w:eastAsia="Calibri" w:hAnsi="Calibri"/>
                <w:color w:val="1F2937"/>
                <w:sz w:val="21"/>
                <w:szCs w:val="21"/>
              </w:rPr>
              <w:t xml:space="preserve">This document assumes no specialist prior background in bioinformatics or machine learning. Each section provides sufficient conceptual grounding to be read independently, with technical specification following immediately after.</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§1  </w:t>
      </w:r>
      <w:r>
        <w:rPr>
          <w:rFonts w:ascii="Calibri" w:cs="Calibri" w:eastAsia="Calibri" w:hAnsi="Calibri"/>
          <w:b/>
          <w:bCs/>
          <w:color w:val="16233F"/>
          <w:sz w:val="30"/>
          <w:szCs w:val="30"/>
        </w:rPr>
        <w:t xml:space="preserve">PROBLEM STATEMENT AND MOTIVATION</w:t>
      </w:r>
    </w:p>
    <w:p>
      <w:pPr>
        <w:spacing w:after="200"/>
      </w:pPr>
      <w:r>
        <w:rPr>
          <w:rFonts w:ascii="Calibri" w:cs="Calibri" w:eastAsia="Calibri" w:hAnsi="Calibri"/>
          <w:i/>
          <w:iCs/>
          <w:color w:val="5B6472"/>
          <w:sz w:val="20"/>
          <w:szCs w:val="20"/>
        </w:rPr>
        <w:t xml:space="preserve">Defining the scope of the problem this project addresses</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Microbial dark matter refers to genetic sequences that have been fully determined at the nucleotide level but for which no functional annotation exists in current reference databases — the sequence exhibits no detectable similarity to any characterized gene, protein family, or structural fold.</w:t>
            </w:r>
          </w:p>
        </w:tc>
      </w:tr>
    </w:tbl>
    <w:p>
      <w:pPr>
        <w:spacing w:after="120"/>
      </w:pPr>
    </w:p>
    <w:p>
      <w:pPr>
        <w:spacing w:after="160"/>
      </w:pPr>
      <w:r>
        <w:rPr>
          <w:rFonts w:ascii="Calibri" w:cs="Calibri" w:eastAsia="Calibri" w:hAnsi="Calibri"/>
          <w:color w:val="1F2937"/>
          <w:sz w:val="21"/>
          <w:szCs w:val="21"/>
        </w:rPr>
        <w:t xml:space="preserve">Every microorganism — bacterial, viral, or archaeal — carries genes that, in principle, encode a functional product: an enzyme, a structural component, a mechanism of environmental adaptation. Large-scale sequencing efforts across soil, marine, and human-associated environments have produced an enormous volume of such genes. For a substantial proportion of them, no functional characterization exists.</w:t>
      </w:r>
    </w:p>
    <w:p>
      <w:pPr>
        <w:spacing w:after="120" w:before="260"/>
      </w:pPr>
      <w:r>
        <w:rPr>
          <w:rFonts w:ascii="Calibri" w:cs="Calibri" w:eastAsia="Calibri" w:hAnsi="Calibri"/>
          <w:b/>
          <w:bCs/>
          <w:color w:val="16233F"/>
          <w:sz w:val="24"/>
          <w:szCs w:val="24"/>
        </w:rPr>
        <w:t xml:space="preserve">Scope of the problem</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A global metagenomics analysis of 26,931 environmental samples identified 1.17 billion protein sequences with no similarity to any of 102,491 reference genomes or the Pfam database, effectively doubling the number of known protein families in a single study.</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For viral sequences specifically, 40–90% of genes across environmental studies lack known homologs or annotated function; even within curated reference databases, 75–85% of protein families remain classified as hypothetical or unknown.</w:t>
      </w:r>
    </w:p>
    <w:tbl>
      <w:tblPr>
        <w:tblW w:type="dxa" w:w="9720"/>
        <w:tblBorders>
          <w:top w:val="single" w:color="EFFAF2" w:sz="4"/>
          <w:left w:val="single" w:color="15803D" w:sz="24"/>
          <w:bottom w:val="single" w:color="EFFAF2" w:sz="4"/>
          <w:right w:val="single" w:color="EFFAF2" w:sz="4"/>
          <w:insideH w:val="none" w:color="FFFFFF" w:sz="0"/>
          <w:insideV w:val="none" w:color="FFFFFF" w:sz="0"/>
        </w:tblBorders>
      </w:tblPr>
      <w:tblGrid>
        <w:gridCol w:w="100"/>
      </w:tblGrid>
      <w:tr>
        <w:trPr>
          <w:cantSplit/>
        </w:trPr>
        <w:tc>
          <w:tcPr>
            <w:tcW w:type="dxa" w:w="9720"/>
            <w:shd w:fill="EFFAF2" w:val="clear"/>
            <w:tcMar>
              <w:top w:type="dxa" w:w="140"/>
              <w:left w:type="dxa" w:w="220"/>
              <w:bottom w:type="dxa" w:w="140"/>
              <w:right w:type="dxa" w:w="220"/>
            </w:tcMar>
          </w:tcPr>
          <w:p>
            <w:pPr>
              <w:spacing w:after="70"/>
            </w:pPr>
            <w:r>
              <w:rPr>
                <w:rFonts w:ascii="Calibri" w:cs="Calibri" w:eastAsia="Calibri" w:hAnsi="Calibri"/>
                <w:b/>
                <w:bCs/>
                <w:caps/>
                <w:color w:val="15803D"/>
                <w:sz w:val="19"/>
                <w:szCs w:val="19"/>
              </w:rPr>
              <w:t xml:space="preserve">SIGNIFICANCE</w:t>
            </w:r>
          </w:p>
          <w:p>
            <w:pPr>
              <w:spacing w:after="0"/>
            </w:pPr>
            <w:r>
              <w:rPr>
                <w:rFonts w:ascii="Calibri" w:cs="Calibri" w:eastAsia="Calibri" w:hAnsi="Calibri"/>
                <w:color w:val="1F2937"/>
                <w:sz w:val="21"/>
                <w:szCs w:val="21"/>
              </w:rPr>
              <w:t xml:space="preserve">These uncharacterized sequences are not presumed to be non-functional. A meaningful fraction plausibly encode novel antimicrobial mechanisms, industrial enzymes, or immune-evasion strategies employed by pathogenic organisms — they remain unrecognized because they do not resemble anything in the existing reference corpus.</w:t>
            </w:r>
          </w:p>
        </w:tc>
      </w:tr>
    </w:tbl>
    <w:p>
      <w:pPr>
        <w:spacing w:after="120"/>
      </w:pPr>
    </w:p>
    <w:p>
      <w:pPr>
        <w:spacing w:after="120" w:before="260"/>
      </w:pPr>
      <w:r>
        <w:rPr>
          <w:rFonts w:ascii="Calibri" w:cs="Calibri" w:eastAsia="Calibri" w:hAnsi="Calibri"/>
          <w:b/>
          <w:bCs/>
          <w:color w:val="16233F"/>
          <w:sz w:val="24"/>
          <w:szCs w:val="24"/>
        </w:rPr>
        <w:t xml:space="preserve">The central methodological obstacle</w:t>
      </w:r>
    </w:p>
    <w:p>
      <w:pPr>
        <w:spacing w:after="160"/>
      </w:pPr>
      <w:r>
        <w:rPr>
          <w:rFonts w:ascii="Calibri" w:cs="Calibri" w:eastAsia="Calibri" w:hAnsi="Calibri"/>
          <w:color w:val="1F2937"/>
          <w:sz w:val="21"/>
          <w:szCs w:val="21"/>
        </w:rPr>
        <w:t xml:space="preserve">Functional annotation conventionally proceeds by comparison against characterized reference sequences. Dark-matter sequences, by definition, have no such reference to compare against. This absence of a comparison target — and, more fundamentally, the absence of ground truth against which any proposed method can be evaluated — is the obstacle that every approach considered in this document must address directly.</w:t>
      </w:r>
    </w:p>
    <w:p>
      <w:pPr>
        <w:spacing w:after="120" w:before="260"/>
      </w:pPr>
      <w:r>
        <w:rPr>
          <w:rFonts w:ascii="Calibri" w:cs="Calibri" w:eastAsia="Calibri" w:hAnsi="Calibri"/>
          <w:b/>
          <w:bCs/>
          <w:color w:val="16233F"/>
          <w:sz w:val="24"/>
          <w:szCs w:val="24"/>
        </w:rPr>
        <w:t xml:space="preserve">Defining a tractable, semester-scoped contribution</w:t>
      </w:r>
    </w:p>
    <w:p>
      <w:pPr>
        <w:spacing w:after="160"/>
      </w:pPr>
      <w:r>
        <w:rPr>
          <w:rFonts w:ascii="Calibri" w:cs="Calibri" w:eastAsia="Calibri" w:hAnsi="Calibri"/>
          <w:color w:val="1F2937"/>
          <w:sz w:val="21"/>
          <w:szCs w:val="21"/>
        </w:rPr>
        <w:t xml:space="preserve">Resolving the function of all uncharacterized microbial sequences is not a realistic objective for a single academic term; it remains an open problem occupying well-resourced research groups over multi-year timescales. A defensible semester-scoped objective is narrower: construct a method capable of reliably identifying which sequences are genuinely novel and merit further investigation, and demonstrate — using the validation strategy introduced in Section 2 — that the method's output is meaningful rather than arbitrary.</w:t>
      </w:r>
    </w:p>
    <w:p>
      <w:pPr>
        <w:pBdr>
          <w:bottom w:val="single" w:color="16233F" w:sz="10" w:space="6"/>
        </w:pBdr>
        <w:spacing w:after="60" w:before="420"/>
      </w:pPr>
      <w:r>
        <w:rPr>
          <w:rFonts w:ascii="Calibri" w:cs="Calibri" w:eastAsia="Calibri" w:hAnsi="Calibri"/>
          <w:b/>
          <w:bCs/>
          <w:color w:val="1D4ED8"/>
          <w:sz w:val="30"/>
          <w:szCs w:val="30"/>
        </w:rPr>
        <w:t xml:space="preserve">§2  </w:t>
      </w:r>
      <w:r>
        <w:rPr>
          <w:rFonts w:ascii="Calibri" w:cs="Calibri" w:eastAsia="Calibri" w:hAnsi="Calibri"/>
          <w:b/>
          <w:bCs/>
          <w:color w:val="16233F"/>
          <w:sz w:val="30"/>
          <w:szCs w:val="30"/>
        </w:rPr>
        <w:t xml:space="preserve">CONCEPTUAL FOUNDATIONS</w:t>
      </w:r>
    </w:p>
    <w:p>
      <w:pPr>
        <w:spacing w:after="200"/>
      </w:pPr>
      <w:r>
        <w:rPr>
          <w:rFonts w:ascii="Calibri" w:cs="Calibri" w:eastAsia="Calibri" w:hAnsi="Calibri"/>
          <w:i/>
          <w:iCs/>
          <w:color w:val="5B6472"/>
          <w:sz w:val="20"/>
          <w:szCs w:val="20"/>
        </w:rPr>
        <w:t xml:space="preserve">Terminology and methodology underlying the remainder of this document</w:t>
      </w:r>
    </w:p>
    <w:p>
      <w:pPr>
        <w:spacing w:after="160"/>
      </w:pPr>
      <w:r>
        <w:rPr>
          <w:rFonts w:ascii="Calibri" w:cs="Calibri" w:eastAsia="Calibri" w:hAnsi="Calibri"/>
          <w:color w:val="1F2937"/>
          <w:sz w:val="21"/>
          <w:szCs w:val="21"/>
        </w:rPr>
        <w:t xml:space="preserve">This section defines each recurring technical concept prior to its use in later sections. A complete alphabetical reference is additionally provided in the Glossary (Section 11).</w:t>
      </w:r>
    </w:p>
    <w:p>
      <w:pPr>
        <w:spacing w:after="120" w:before="260"/>
      </w:pPr>
      <w:r>
        <w:rPr>
          <w:rFonts w:ascii="Calibri" w:cs="Calibri" w:eastAsia="Calibri" w:hAnsi="Calibri"/>
          <w:b/>
          <w:bCs/>
          <w:color w:val="16233F"/>
          <w:sz w:val="24"/>
          <w:szCs w:val="24"/>
        </w:rPr>
        <w:t xml:space="preserve">2.1  Sequence embeddings</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An embedding is a fixed-length numerical vector representation of a biological sequence, constructed such that sequences with related biological properties occupy proximate regions of the resulting vector space.</w:t>
            </w:r>
          </w:p>
        </w:tc>
      </w:tr>
    </w:tbl>
    <w:p>
      <w:pPr>
        <w:spacing w:after="120"/>
      </w:pPr>
    </w:p>
    <w:p>
      <w:pPr>
        <w:spacing w:after="160"/>
      </w:pPr>
      <w:r>
        <w:rPr>
          <w:rFonts w:ascii="Calibri" w:cs="Calibri" w:eastAsia="Calibri" w:hAnsi="Calibri"/>
          <w:color w:val="1F2937"/>
          <w:sz w:val="21"/>
          <w:szCs w:val="21"/>
        </w:rPr>
        <w:t xml:space="preserve">This property permits quantitative distance measurement between sequences, clustering of related sequences, and identification of statistical outliers — operations that are not straightforwardly available on raw nucleotide or amino-acid sequences.</w:t>
      </w:r>
    </w:p>
    <w:p>
      <w:pPr>
        <w:spacing w:after="120" w:before="260"/>
      </w:pPr>
      <w:r>
        <w:rPr>
          <w:rFonts w:ascii="Calibri" w:cs="Calibri" w:eastAsia="Calibri" w:hAnsi="Calibri"/>
          <w:b/>
          <w:bCs/>
          <w:color w:val="16233F"/>
          <w:sz w:val="24"/>
          <w:szCs w:val="24"/>
        </w:rPr>
        <w:t xml:space="preserve">2.2  Genomic foundation models</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A foundation model is a large-scale model pretrained on a broad data corpus prior to task-specific application, in the manner that large language models are pretrained on general text prior to task-specific use. Genos-m is such a model, purpose-built for human-associated microbial genomes.</w:t>
            </w:r>
          </w:p>
        </w:tc>
      </w:tr>
    </w:tbl>
    <w:p>
      <w:pPr>
        <w:spacing w:after="12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Preprint status</w:t>
            </w:r>
          </w:p>
          <w:p>
            <w:pPr>
              <w:spacing w:after="0"/>
            </w:pPr>
            <w:r>
              <w:rPr>
                <w:rFonts w:ascii="Calibri" w:cs="Calibri" w:eastAsia="Calibri" w:hAnsi="Calibri"/>
                <w:color w:val="1F2937"/>
                <w:sz w:val="21"/>
                <w:szCs w:val="21"/>
              </w:rPr>
              <w:t xml:space="preserve">Genos-m was released as a preprint in May 2026 by BGI-Research and Zhejiang Lab and has not yet undergone formal peer review. Reported specifications and performance figures should be independently verified against the source publication prior to citation in any submitted work.</w:t>
            </w:r>
          </w:p>
        </w:tc>
      </w:tr>
    </w:tbl>
    <w:p>
      <w:pPr>
        <w:spacing w:after="120"/>
      </w:pPr>
    </w:p>
    <w:p>
      <w:pPr>
        <w:spacing w:after="120" w:before="260"/>
      </w:pPr>
      <w:r>
        <w:rPr>
          <w:rFonts w:ascii="Calibri" w:cs="Calibri" w:eastAsia="Calibri" w:hAnsi="Calibri"/>
          <w:b/>
          <w:bCs/>
          <w:color w:val="16233F"/>
          <w:sz w:val="24"/>
          <w:szCs w:val="24"/>
        </w:rPr>
        <w:t xml:space="preserve">2.3  Structure prediction</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Structure prediction methods (e.g., ESMFold) infer the three-dimensional conformation into which a protein folds, computed directly from its amino-acid sequence, without requiring experimental structure determination.</w:t>
            </w:r>
          </w:p>
        </w:tc>
      </w:tr>
    </w:tbl>
    <w:p>
      <w:pPr>
        <w:spacing w:after="120"/>
      </w:pPr>
    </w:p>
    <w:p>
      <w:pPr>
        <w:spacing w:after="160"/>
      </w:pPr>
      <w:r>
        <w:rPr>
          <w:rFonts w:ascii="Calibri" w:cs="Calibri" w:eastAsia="Calibri" w:hAnsi="Calibri"/>
          <w:color w:val="1F2937"/>
          <w:sz w:val="21"/>
          <w:szCs w:val="21"/>
        </w:rPr>
        <w:t xml:space="preserve">Structural conservation across evolutionary timescales substantially exceeds sequence conservation (the biological basis for this is developed in Section 5); consequently, structural comparison can reveal functional relationships that sequence-level comparison alone cannot detect.</w:t>
      </w:r>
    </w:p>
    <w:p>
      <w:pPr>
        <w:spacing w:after="120" w:before="260"/>
      </w:pPr>
      <w:r>
        <w:rPr>
          <w:rFonts w:ascii="Calibri" w:cs="Calibri" w:eastAsia="Calibri" w:hAnsi="Calibri"/>
          <w:b/>
          <w:bCs/>
          <w:color w:val="16233F"/>
          <w:sz w:val="24"/>
          <w:szCs w:val="24"/>
        </w:rPr>
        <w:t xml:space="preserve">2.4  Novelty and anomaly detection</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Novelty-detection methods characterize the statistical distribution of previously observed ("known") data and flag inputs falling outside that distribution, without requiring labeled examples of every possible anomalous category in advance.</w:t>
            </w:r>
          </w:p>
        </w:tc>
      </w:tr>
    </w:tbl>
    <w:p>
      <w:pPr>
        <w:spacing w:after="120"/>
      </w:pPr>
    </w:p>
    <w:p>
      <w:pPr>
        <w:spacing w:after="120" w:before="260"/>
      </w:pPr>
      <w:r>
        <w:rPr>
          <w:rFonts w:ascii="Calibri" w:cs="Calibri" w:eastAsia="Calibri" w:hAnsi="Calibri"/>
          <w:b/>
          <w:bCs/>
          <w:color w:val="16233F"/>
          <w:sz w:val="24"/>
          <w:szCs w:val="24"/>
        </w:rPr>
        <w:t xml:space="preserve">2.5  Retrospective (temporal) validation</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CORE VALIDATION STRATEGY</w:t>
            </w:r>
          </w:p>
          <w:p>
            <w:r>
              <w:rPr>
                <w:rFonts w:ascii="Calibri" w:cs="Calibri" w:eastAsia="Calibri" w:hAnsi="Calibri"/>
                <w:color w:val="1F2937"/>
                <w:sz w:val="21"/>
                <w:szCs w:val="21"/>
              </w:rPr>
              <w:t xml:space="preserve">Dark-matter sequences have no contemporaneous ground truth by definition. However, sequences that were dark-matter at an earlier point in time frequently do have ground truth today, because some have since been characterized. The strategy: freeze an earlier reference-database snapshot, generate predictions using only information available at that time, and evaluate those predictions against the current, more complete database. This construction yields a genuine, falsifiable evaluation set despite the absence of present-day ground truth.</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§3  </w:t>
      </w:r>
      <w:r>
        <w:rPr>
          <w:rFonts w:ascii="Calibri" w:cs="Calibri" w:eastAsia="Calibri" w:hAnsi="Calibri"/>
          <w:b/>
          <w:bCs/>
          <w:color w:val="16233F"/>
          <w:sz w:val="30"/>
          <w:szCs w:val="30"/>
        </w:rPr>
        <w:t xml:space="preserve">RELATED WORK AND STATE OF THE ART</w:t>
      </w:r>
    </w:p>
    <w:p>
      <w:pPr>
        <w:spacing w:after="200"/>
      </w:pPr>
      <w:r>
        <w:rPr>
          <w:rFonts w:ascii="Calibri" w:cs="Calibri" w:eastAsia="Calibri" w:hAnsi="Calibri"/>
          <w:i/>
          <w:iCs/>
          <w:color w:val="5B6472"/>
          <w:sz w:val="20"/>
          <w:szCs w:val="20"/>
        </w:rPr>
        <w:t xml:space="preserve">The existing methodological landscape for functional annotation</w:t>
      </w:r>
    </w:p>
    <w:p>
      <w:pPr>
        <w:spacing w:after="160"/>
      </w:pPr>
      <w:r>
        <w:rPr>
          <w:rFonts w:ascii="Calibri" w:cs="Calibri" w:eastAsia="Calibri" w:hAnsi="Calibri"/>
          <w:color w:val="1F2937"/>
          <w:sz w:val="21"/>
          <w:szCs w:val="21"/>
        </w:rPr>
        <w:t xml:space="preserve">Four established method families address aspects of this problem, each with characteristic strengths and limitations.</w:t>
      </w:r>
    </w:p>
    <w:p>
      <w:pPr>
        <w:spacing w:after="120" w:before="260"/>
      </w:pPr>
      <w:r>
        <w:rPr>
          <w:rFonts w:ascii="Calibri" w:cs="Calibri" w:eastAsia="Calibri" w:hAnsi="Calibri"/>
          <w:b/>
          <w:bCs/>
          <w:color w:val="16233F"/>
          <w:sz w:val="24"/>
          <w:szCs w:val="24"/>
        </w:rPr>
        <w:t xml:space="preserve">Family 1 — Sequence-similarity search</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The earliest and most widely deployed approach identifies function through direct sequence alignment against characterized references (e.g., BLAST, HMMER). This approach is effective when a homologous sequence exists in the reference database, and provides no signal in its absence — precisely the condition defining dark matter.</w:t>
            </w:r>
          </w:p>
        </w:tc>
      </w:tr>
    </w:tbl>
    <w:p>
      <w:pPr>
        <w:spacing w:after="120"/>
      </w:pPr>
    </w:p>
    <w:p>
      <w:pPr>
        <w:spacing w:after="120" w:before="260"/>
      </w:pPr>
      <w:r>
        <w:rPr>
          <w:rFonts w:ascii="Calibri" w:cs="Calibri" w:eastAsia="Calibri" w:hAnsi="Calibri"/>
          <w:b/>
          <w:bCs/>
          <w:color w:val="16233F"/>
          <w:sz w:val="24"/>
          <w:szCs w:val="24"/>
        </w:rPr>
        <w:t xml:space="preserve">Family 2 — Structure-based function inference</w:t>
      </w:r>
    </w:p>
    <w:p>
      <w:pPr>
        <w:spacing w:after="160"/>
      </w:pPr>
      <w:r>
        <w:rPr>
          <w:rFonts w:ascii="Calibri" w:cs="Calibri" w:eastAsia="Calibri" w:hAnsi="Calibri"/>
          <w:color w:val="1F2937"/>
          <w:sz w:val="21"/>
          <w:szCs w:val="21"/>
        </w:rPr>
        <w:t xml:space="preserve">Foldseek performs structural search rather than sequence search, and reports computation-time reductions of four to five orders of magnitude relative to established structural-alignment tools, while retaining comparable sensitivity. Because structural similarity persists across far greater evolutionary distance than sequence identity (Section 5), this family recovers relationships that sequence search misses entirely.</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DeepFRI and DeepGO/DeepGOZero: predict likely function directly from structural or ontology-aware representations.</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The ESM Metagenomic Atlas: a public repository of approximately 617 million predicted protein structures available for structural search.</w:t>
      </w:r>
    </w:p>
    <w:p>
      <w:pPr>
        <w:spacing w:after="120" w:before="260"/>
      </w:pPr>
      <w:r>
        <w:rPr>
          <w:rFonts w:ascii="Calibri" w:cs="Calibri" w:eastAsia="Calibri" w:hAnsi="Calibri"/>
          <w:b/>
          <w:bCs/>
          <w:color w:val="16233F"/>
          <w:sz w:val="24"/>
          <w:szCs w:val="24"/>
        </w:rPr>
        <w:t xml:space="preserve">Family 3 — Embedding-based remote homology detection</w:t>
      </w:r>
    </w:p>
    <w:p>
      <w:pPr>
        <w:spacing w:after="160"/>
      </w:pPr>
      <w:r>
        <w:rPr>
          <w:rFonts w:ascii="Calibri" w:cs="Calibri" w:eastAsia="Calibri" w:hAnsi="Calibri"/>
          <w:color w:val="1F2937"/>
          <w:sz w:val="21"/>
          <w:szCs w:val="21"/>
        </w:rPr>
        <w:t xml:space="preserve">Protein-focused foundation models (ESM-2, ProtT5) generate embeddings as described in Section 2, with subsequent distance-based retrieval outperforming sequence alignment specifically in the low-identity regime characteristic of dark matter.</w:t>
      </w:r>
    </w:p>
    <w:p>
      <w:pPr>
        <w:spacing w:after="120" w:before="260"/>
      </w:pPr>
      <w:r>
        <w:rPr>
          <w:rFonts w:ascii="Calibri" w:cs="Calibri" w:eastAsia="Calibri" w:hAnsi="Calibri"/>
          <w:b/>
          <w:bCs/>
          <w:color w:val="16233F"/>
          <w:sz w:val="24"/>
          <w:szCs w:val="24"/>
        </w:rPr>
        <w:t xml:space="preserve">Family 4 — Genomic-context inference (guilt by association)</w:t>
      </w:r>
    </w:p>
    <w:p>
      <w:pPr>
        <w:spacing w:after="160"/>
      </w:pPr>
      <w:r>
        <w:rPr>
          <w:rFonts w:ascii="Calibri" w:cs="Calibri" w:eastAsia="Calibri" w:hAnsi="Calibri"/>
          <w:color w:val="1F2937"/>
          <w:sz w:val="21"/>
          <w:szCs w:val="21"/>
        </w:rPr>
        <w:t xml:space="preserve">Genes co-located on a genome frequently participate in the same functional pathway. One recent large-scale study applied this principle to predict high-confidence function for over 443,000 previously uncharacterized protein families across nearly 1,600 human gut metagenomic and metatranscriptomic samples.</w:t>
      </w:r>
    </w:p>
    <w:p>
      <w:pPr>
        <w:spacing w:after="120" w:before="260"/>
      </w:pPr>
      <w:r>
        <w:rPr>
          <w:rFonts w:ascii="Calibri" w:cs="Calibri" w:eastAsia="Calibri" w:hAnsi="Calibri"/>
          <w:b/>
          <w:bCs/>
          <w:color w:val="16233F"/>
          <w:sz w:val="24"/>
          <w:szCs w:val="24"/>
        </w:rPr>
        <w:t xml:space="preserve">Evaluation methodology in the absence of ground truth</w:t>
      </w:r>
    </w:p>
    <w:p>
      <w:pPr>
        <w:spacing w:after="160"/>
      </w:pPr>
      <w:r>
        <w:rPr>
          <w:rFonts w:ascii="Calibri" w:cs="Calibri" w:eastAsia="Calibri" w:hAnsi="Calibri"/>
          <w:color w:val="1F2937"/>
          <w:sz w:val="21"/>
          <w:szCs w:val="21"/>
        </w:rPr>
        <w:t xml:space="preserve">This is the field's principal methodological challenge, and is the specific problem the retrospective validation strategy (Section 2.5) is designed to address. The most established precedent is the CAFA series of community challenges, in which predictions are made on currently unannotated proteins and scored only after experimental annotation accumulates, typically over a 6–12 month interval.</w:t>
      </w:r>
    </w:p>
    <w:p>
      <w:pPr>
        <w:pBdr>
          <w:bottom w:val="single" w:color="16233F" w:sz="10" w:space="6"/>
        </w:pBdr>
        <w:spacing w:after="60" w:before="420"/>
      </w:pPr>
      <w:r>
        <w:rPr>
          <w:rFonts w:ascii="Calibri" w:cs="Calibri" w:eastAsia="Calibri" w:hAnsi="Calibri"/>
          <w:b/>
          <w:bCs/>
          <w:color w:val="1D4ED8"/>
          <w:sz w:val="30"/>
          <w:szCs w:val="30"/>
        </w:rPr>
        <w:t xml:space="preserve">§4  </w:t>
      </w:r>
      <w:r>
        <w:rPr>
          <w:rFonts w:ascii="Calibri" w:cs="Calibri" w:eastAsia="Calibri" w:hAnsi="Calibri"/>
          <w:b/>
          <w:bCs/>
          <w:color w:val="16233F"/>
          <w:sz w:val="30"/>
          <w:szCs w:val="30"/>
        </w:rPr>
        <w:t xml:space="preserve">CROSS-DOMAIN METHODOLOGICAL PARALLELS</w:t>
      </w:r>
    </w:p>
    <w:p>
      <w:pPr>
        <w:spacing w:after="200"/>
      </w:pPr>
      <w:r>
        <w:rPr>
          <w:rFonts w:ascii="Calibri" w:cs="Calibri" w:eastAsia="Calibri" w:hAnsi="Calibri"/>
          <w:i/>
          <w:iCs/>
          <w:color w:val="5B6472"/>
          <w:sz w:val="20"/>
          <w:szCs w:val="20"/>
        </w:rPr>
        <w:t xml:space="preserve">Analogous problems solved independently in other fields</w:t>
      </w:r>
    </w:p>
    <w:p>
      <w:pPr>
        <w:spacing w:after="160"/>
      </w:pPr>
      <w:r>
        <w:rPr>
          <w:rFonts w:ascii="Calibri" w:cs="Calibri" w:eastAsia="Calibri" w:hAnsi="Calibri"/>
          <w:color w:val="1F2937"/>
          <w:sz w:val="21"/>
          <w:szCs w:val="21"/>
        </w:rPr>
        <w:t xml:space="preserve">The problem of categorizing observations with no available reference example is not unique to genomics. Several unrelated fields have developed formal solutions to structurally identical problems, and the underlying techniques transfer directly.</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tblGrid>
      <w:tr>
        <w:trPr>
          <w:tblHeader/>
        </w:trPr>
        <w:tc>
          <w:tcPr>
            <w:tcW w:type="dxa" w:w="1652"/>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4471"/>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Solution to “detect the unknown”</w:t>
            </w:r>
          </w:p>
        </w:tc>
        <w:tc>
          <w:tcPr>
            <w:tcW w:type="dxa" w:w="3596"/>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Transferable principle</w:t>
            </w:r>
          </w:p>
        </w:tc>
      </w:tr>
      <w:tr>
        <w:trPr>
          <w:cantSplit w:val="false"/>
        </w:trPr>
        <w:tc>
          <w:tcPr>
            <w:tcW w:type="dxa" w:w="165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Computer vision (open-set recognition)</w:t>
            </w:r>
          </w:p>
        </w:tc>
        <w:tc>
          <w:tcPr>
            <w:tcW w:type="dxa" w:w="4471"/>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Rather than assigning every input to a known category, the boundary of “known” is modeled explicitly, with inputs beyond that boundary assigned an explicit “unknown” designation (e.g., the OpenMax method).</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detection method should be permitted to output “not recognized” rather than forcing every sequence into an existing category.</w:t>
            </w:r>
          </w:p>
        </w:tc>
      </w:tr>
      <w:tr>
        <w:trPr>
          <w:cantSplit w:val="false"/>
        </w:trPr>
        <w:tc>
          <w:tcPr>
            <w:tcW w:type="dxa" w:w="165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Computer security (negative selection)</w:t>
            </w:r>
          </w:p>
        </w:tc>
        <w:tc>
          <w:tcPr>
            <w:tcW w:type="dxa" w:w="4471"/>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well-established technique models only normal (“self”) behavior and flags any deviation as anomalous, requiring no prior example of an attack.</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Model only characterized, well-understood sequences as “self”; treat deviations as the discovery set.</w:t>
            </w:r>
          </w:p>
        </w:tc>
      </w:tr>
      <w:tr>
        <w:trPr>
          <w:cantSplit w:val="false"/>
        </w:trPr>
        <w:tc>
          <w:tcPr>
            <w:tcW w:type="dxa" w:w="165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Astronomy (transient detection)</w:t>
            </w:r>
          </w:p>
        </w:tc>
        <w:tc>
          <w:tcPr>
            <w:tcW w:type="dxa" w:w="4471"/>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Signals are encoded into a compact representation and scored by distance-based methods; detectors are validated by withholding a known object class and confirming its recovery.</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rigorous test protocol: withhold a known category and verify the method correctly flags it as anomalous.</w:t>
            </w:r>
          </w:p>
        </w:tc>
      </w:tr>
      <w:tr>
        <w:trPr>
          <w:cantSplit w:val="false"/>
        </w:trPr>
        <w:tc>
          <w:tcPr>
            <w:tcW w:type="dxa" w:w="165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Cybersecurity (malware family clustering)</w:t>
            </w:r>
          </w:p>
        </w:tc>
        <w:tc>
          <w:tcPr>
            <w:tcW w:type="dxa" w:w="4471"/>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When signature-based detection fails on novel malware, behavior is embedded into a fingerprint space and clustered; new families appear as dense, unexplained clusters.</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Genuinely novel gene families should present analogously — as dense clusters distant from all characterized sequence space.</w:t>
            </w:r>
          </w:p>
        </w:tc>
      </w:tr>
      <w:tr>
        <w:trPr>
          <w:cantSplit w:val="false"/>
        </w:trPr>
        <w:tc>
          <w:tcPr>
            <w:tcW w:type="dxa" w:w="165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Computational linguistics (undeciphered scripts)</w:t>
            </w:r>
          </w:p>
        </w:tc>
        <w:tc>
          <w:tcPr>
            <w:tcW w:type="dxa" w:w="4471"/>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In the absence of a translation key, internal statistical regularities (symbol frequency, positional structure) are used as evidence of genuine linguistic organization.</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Statistical regularity within a sequence constitutes evidence of authentic biological function, as distinct from noise.</w:t>
            </w:r>
          </w:p>
        </w:tc>
      </w:tr>
      <w:tr>
        <w:trPr>
          <w:cantSplit w:val="false"/>
        </w:trPr>
        <w:tc>
          <w:tcPr>
            <w:tcW w:type="dxa" w:w="165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Physics (dark matter detection)</w:t>
            </w:r>
          </w:p>
        </w:tc>
        <w:tc>
          <w:tcPr>
            <w:tcW w:type="dxa" w:w="4471"/>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The entity is never observed directly; its existence is established only when multiple independent lines of evidence converge.</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candidate result should be weighted more heavily when independent computational signals corroborate one another.</w:t>
            </w:r>
          </w:p>
        </w:tc>
      </w:tr>
    </w:tbl>
    <w:p>
      <w:pPr>
        <w:spacing w:after="180"/>
      </w:pP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COMMON PRINCIPLE ACROSS DOMAINS</w:t>
            </w:r>
          </w:p>
          <w:p>
            <w:r>
              <w:rPr>
                <w:rFonts w:ascii="Calibri" w:cs="Calibri" w:eastAsia="Calibri" w:hAnsi="Calibri"/>
                <w:color w:val="1F2937"/>
                <w:sz w:val="21"/>
                <w:szCs w:val="21"/>
              </w:rPr>
              <w:t xml:space="preserve">Each of these fields addresses the same underlying question: how can a method responsibly assert novelty in the absence of labeled novel examples. The recurring solution is to define the boundary of “known,” measure distance from it, and validate using a defensible proxy for ground truth — a withheld test case, a later point in time, or independent corroborating evidence.</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§5  </w:t>
      </w:r>
      <w:r>
        <w:rPr>
          <w:rFonts w:ascii="Calibri" w:cs="Calibri" w:eastAsia="Calibri" w:hAnsi="Calibri"/>
          <w:b/>
          <w:bCs/>
          <w:color w:val="16233F"/>
          <w:sz w:val="30"/>
          <w:szCs w:val="30"/>
        </w:rPr>
        <w:t xml:space="preserve">BIOLOGICAL RATIONALE</w:t>
      </w:r>
    </w:p>
    <w:p>
      <w:pPr>
        <w:spacing w:after="200"/>
      </w:pPr>
      <w:r>
        <w:rPr>
          <w:rFonts w:ascii="Calibri" w:cs="Calibri" w:eastAsia="Calibri" w:hAnsi="Calibri"/>
          <w:i/>
          <w:iCs/>
          <w:color w:val="5B6472"/>
          <w:sz w:val="20"/>
          <w:szCs w:val="20"/>
        </w:rPr>
        <w:t xml:space="preserve">The biological justification for a structure-informed strategy</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The innate immune system provides a biological precedent for novelty detection performed without prior examples of the specific threat encountered. Pattern-recognition receptors identify pathogen-associated molecular patterns — structural motifs conserved across broad classes of pathogens — rather than requiring an exact match to any previously encountered organism.</w:t>
            </w:r>
          </w:p>
        </w:tc>
      </w:tr>
    </w:tbl>
    <w:p>
      <w:pPr>
        <w:spacing w:after="120"/>
      </w:pPr>
    </w:p>
    <w:p>
      <w:pPr>
        <w:spacing w:after="120" w:before="260"/>
      </w:pPr>
      <w:r>
        <w:rPr>
          <w:rFonts w:ascii="Calibri" w:cs="Calibri" w:eastAsia="Calibri" w:hAnsi="Calibri"/>
          <w:b/>
          <w:bCs/>
          <w:color w:val="16233F"/>
          <w:sz w:val="24"/>
          <w:szCs w:val="24"/>
        </w:rPr>
        <w:t xml:space="preserve">Structural conservation exceeds sequence conservation</w:t>
      </w:r>
    </w:p>
    <w:p>
      <w:pPr>
        <w:spacing w:after="160"/>
      </w:pPr>
      <w:r>
        <w:rPr>
          <w:rFonts w:ascii="Calibri" w:cs="Calibri" w:eastAsia="Calibri" w:hAnsi="Calibri"/>
          <w:color w:val="1F2937"/>
          <w:sz w:val="21"/>
          <w:szCs w:val="21"/>
        </w:rPr>
        <w:t xml:space="preserve">A foundational finding in structural biology establishes that protein three-dimensional structure is conserved across evolutionary time to a substantially greater degree than the underlying amino-acid sequence. Two proteins may retain minimal sequence identity after sufficient evolutionary divergence while still adopting nearly identical structures, because structure — not sequence — determines biological function, and is therefore preserved under selective pressure after sequence identity has been lost. An early influential estimate proposed that the great majority of proteins fold into a limited set of approximately one thousand fundamental structural families, independent of the much larger diversity of underlying sequences.</w:t>
      </w:r>
    </w:p>
    <w:tbl>
      <w:tblPr>
        <w:tblW w:type="dxa" w:w="9720"/>
        <w:tblBorders>
          <w:top w:val="single" w:color="EFFAF2" w:sz="4"/>
          <w:left w:val="single" w:color="15803D" w:sz="24"/>
          <w:bottom w:val="single" w:color="EFFAF2" w:sz="4"/>
          <w:right w:val="single" w:color="EFFAF2" w:sz="4"/>
          <w:insideH w:val="none" w:color="FFFFFF" w:sz="0"/>
          <w:insideV w:val="none" w:color="FFFFFF" w:sz="0"/>
        </w:tblBorders>
      </w:tblPr>
      <w:tblGrid>
        <w:gridCol w:w="100"/>
      </w:tblGrid>
      <w:tr>
        <w:trPr>
          <w:cantSplit/>
        </w:trPr>
        <w:tc>
          <w:tcPr>
            <w:tcW w:type="dxa" w:w="9720"/>
            <w:shd w:fill="EFFAF2" w:val="clear"/>
            <w:tcMar>
              <w:top w:type="dxa" w:w="140"/>
              <w:left w:type="dxa" w:w="220"/>
              <w:bottom w:type="dxa" w:w="140"/>
              <w:right w:type="dxa" w:w="220"/>
            </w:tcMar>
          </w:tcPr>
          <w:p>
            <w:pPr>
              <w:spacing w:after="70"/>
            </w:pPr>
            <w:r>
              <w:rPr>
                <w:rFonts w:ascii="Calibri" w:cs="Calibri" w:eastAsia="Calibri" w:hAnsi="Calibri"/>
                <w:b/>
                <w:bCs/>
                <w:caps/>
                <w:color w:val="15803D"/>
                <w:sz w:val="19"/>
                <w:szCs w:val="19"/>
              </w:rPr>
              <w:t xml:space="preserve">IMPLICATION FOR THIS PROJECT</w:t>
            </w:r>
          </w:p>
          <w:p>
            <w:r>
              <w:rPr>
                <w:rFonts w:ascii="Calibri" w:cs="Calibri" w:eastAsia="Calibri" w:hAnsi="Calibri"/>
                <w:color w:val="1F2937"/>
                <w:sz w:val="21"/>
                <w:szCs w:val="21"/>
              </w:rPr>
              <w:t xml:space="preserve">This is the direct scientific justification for combining structural prediction with sequence-level analysis (Section 6, Layer 2). If structure is conserved well beyond the point at which sequence identity is lost, structural comparison will recover genuine biological relationships that sequence comparison alone cannot detect.</w:t>
            </w:r>
          </w:p>
        </w:tc>
      </w:tr>
    </w:tbl>
    <w:p>
      <w:pPr>
        <w:spacing w:after="120"/>
      </w:pPr>
    </w:p>
    <w:p>
      <w:pPr>
        <w:spacing w:after="120" w:before="260"/>
      </w:pPr>
      <w:r>
        <w:rPr>
          <w:rFonts w:ascii="Calibri" w:cs="Calibri" w:eastAsia="Calibri" w:hAnsi="Calibri"/>
          <w:b/>
          <w:bCs/>
          <w:color w:val="16233F"/>
          <w:sz w:val="24"/>
          <w:szCs w:val="24"/>
        </w:rPr>
        <w:t xml:space="preserve">The innate immune system as a precedent for novelty detection</w:t>
      </w:r>
    </w:p>
    <w:p>
      <w:pPr>
        <w:spacing w:after="160"/>
      </w:pPr>
      <w:r>
        <w:rPr>
          <w:rFonts w:ascii="Calibri" w:cs="Calibri" w:eastAsia="Calibri" w:hAnsi="Calibri"/>
          <w:color w:val="1F2937"/>
          <w:sz w:val="21"/>
          <w:szCs w:val="21"/>
        </w:rPr>
        <w:t xml:space="preserve">The innate immune system does not maintain an enumerated list of every pathogen it may encounter — such a list would be combinatorially infeasible. Instead, it employs a comparatively small number of generic receptors tuned to recognize structural patterns shared broadly across pathogen classes, enabling detection of previously unencountered threats without prior exposure. This constitutes a self/non-self discrimination strategy methodologically equivalent to the negative-selection approach described in Section 4, independently validated by several hundred million years of evolutionary selection.</w:t>
      </w:r>
    </w:p>
    <w:p>
      <w:pPr>
        <w:pBdr>
          <w:bottom w:val="single" w:color="16233F" w:sz="10" w:space="6"/>
        </w:pBdr>
        <w:spacing w:after="60" w:before="420"/>
      </w:pPr>
      <w:r>
        <w:rPr>
          <w:rFonts w:ascii="Calibri" w:cs="Calibri" w:eastAsia="Calibri" w:hAnsi="Calibri"/>
          <w:b/>
          <w:bCs/>
          <w:color w:val="1D4ED8"/>
          <w:sz w:val="30"/>
          <w:szCs w:val="30"/>
        </w:rPr>
        <w:t xml:space="preserve">§6  </w:t>
      </w:r>
      <w:r>
        <w:rPr>
          <w:rFonts w:ascii="Calibri" w:cs="Calibri" w:eastAsia="Calibri" w:hAnsi="Calibri"/>
          <w:b/>
          <w:bCs/>
          <w:color w:val="16233F"/>
          <w:sz w:val="30"/>
          <w:szCs w:val="30"/>
        </w:rPr>
        <w:t xml:space="preserve">CANDIDATE SOLUTION ARCHITECTURES</w:t>
      </w:r>
    </w:p>
    <w:p>
      <w:pPr>
        <w:spacing w:after="200"/>
      </w:pPr>
      <w:r>
        <w:rPr>
          <w:rFonts w:ascii="Calibri" w:cs="Calibri" w:eastAsia="Calibri" w:hAnsi="Calibri"/>
          <w:i/>
          <w:iCs/>
          <w:color w:val="5B6472"/>
          <w:sz w:val="20"/>
          <w:szCs w:val="20"/>
        </w:rPr>
        <w:t xml:space="preserve">Five methodologically distinct approaches, ranked by feasibility and contribution</w:t>
      </w:r>
    </w:p>
    <w:p>
      <w:pPr>
        <w:spacing w:after="160"/>
      </w:pPr>
      <w:r>
        <w:rPr>
          <w:rFonts w:ascii="Calibri" w:cs="Calibri" w:eastAsia="Calibri" w:hAnsi="Calibri"/>
          <w:color w:val="1F2937"/>
          <w:sz w:val="21"/>
          <w:szCs w:val="21"/>
        </w:rPr>
        <w:t xml:space="preserve">Each candidate architecture is scoped as a bounded, falsifiable contribution rather than a claim to resolve microbial dark matter as a general problem.</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gridCol w:w="100"/>
      </w:tblGrid>
      <w:tr>
        <w:trPr>
          <w:tblHeader/>
        </w:trPr>
        <w:tc>
          <w:tcPr>
            <w:tcW w:type="dxa" w:w="778"/>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4082"/>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Core approach</w:t>
            </w:r>
          </w:p>
        </w:tc>
        <w:tc>
          <w:tcPr>
            <w:tcW w:type="dxa" w:w="2722"/>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Computational requirement</w:t>
            </w:r>
          </w:p>
        </w:tc>
        <w:tc>
          <w:tcPr>
            <w:tcW w:type="dxa" w:w="2138"/>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Methodological novelty</w:t>
            </w:r>
          </w:p>
        </w:tc>
      </w:tr>
      <w:tr>
        <w:trPr>
          <w:cantSplit w:val="false"/>
        </w:trPr>
        <w:tc>
          <w:tcPr>
            <w:tcW w:type="dxa" w:w="77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1</w:t>
            </w:r>
          </w:p>
        </w:tc>
        <w:tc>
          <w:tcPr>
            <w:tcW w:type="dxa" w:w="408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Calibrated novelty scoring over genomic embeddings (recommended)</w:t>
            </w:r>
          </w:p>
        </w:tc>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 with available hardware</w:t>
            </w:r>
          </w:p>
        </w:tc>
        <w:tc>
          <w:tcPr>
            <w:tcW w:type="dxa" w:w="213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High</w:t>
            </w:r>
          </w:p>
        </w:tc>
      </w:tr>
      <w:tr>
        <w:trPr>
          <w:cantSplit w:val="false"/>
        </w:trPr>
        <w:tc>
          <w:tcPr>
            <w:tcW w:type="dxa" w:w="77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2</w:t>
            </w:r>
          </w:p>
        </w:tc>
        <w:tc>
          <w:tcPr>
            <w:tcW w:type="dxa" w:w="408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Joint sequence–structure embedding and clustering</w:t>
            </w:r>
          </w:p>
        </w:tc>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Constrained — see Section 9</w:t>
            </w:r>
          </w:p>
        </w:tc>
        <w:tc>
          <w:tcPr>
            <w:tcW w:type="dxa" w:w="213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Medium–High</w:t>
            </w:r>
          </w:p>
        </w:tc>
      </w:tr>
      <w:tr>
        <w:trPr>
          <w:cantSplit w:val="false"/>
        </w:trPr>
        <w:tc>
          <w:tcPr>
            <w:tcW w:type="dxa" w:w="77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3</w:t>
            </w:r>
          </w:p>
        </w:tc>
        <w:tc>
          <w:tcPr>
            <w:tcW w:type="dxa" w:w="408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Immune-inspired self/non-self discrimination</w:t>
            </w:r>
          </w:p>
        </w:tc>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 with available hardware</w:t>
            </w:r>
          </w:p>
        </w:tc>
        <w:tc>
          <w:tcPr>
            <w:tcW w:type="dxa" w:w="213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High</w:t>
            </w:r>
          </w:p>
        </w:tc>
      </w:tr>
      <w:tr>
        <w:trPr>
          <w:cantSplit w:val="false"/>
        </w:trPr>
        <w:tc>
          <w:tcPr>
            <w:tcW w:type="dxa" w:w="77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4</w:t>
            </w:r>
          </w:p>
        </w:tc>
        <w:tc>
          <w:tcPr>
            <w:tcW w:type="dxa" w:w="408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Multi-signal convergence across independent novelty measures</w:t>
            </w:r>
          </w:p>
        </w:tc>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Constrained</w:t>
            </w:r>
          </w:p>
        </w:tc>
        <w:tc>
          <w:tcPr>
            <w:tcW w:type="dxa" w:w="213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Medium–High</w:t>
            </w:r>
          </w:p>
        </w:tc>
      </w:tr>
      <w:tr>
        <w:trPr>
          <w:cantSplit w:val="false"/>
        </w:trPr>
        <w:tc>
          <w:tcPr>
            <w:tcW w:type="dxa" w:w="77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5</w:t>
            </w:r>
          </w:p>
        </w:tc>
        <w:tc>
          <w:tcPr>
            <w:tcW w:type="dxa" w:w="408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Statistical discrimination of coding structure from noise</w:t>
            </w:r>
          </w:p>
        </w:tc>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 with available hardware</w:t>
            </w:r>
          </w:p>
        </w:tc>
        <w:tc>
          <w:tcPr>
            <w:tcW w:type="dxa" w:w="213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Medium</w:t>
            </w:r>
          </w:p>
        </w:tc>
      </w:tr>
    </w:tbl>
    <w:p>
      <w:pPr>
        <w:spacing w:after="200"/>
      </w:pPr>
    </w:p>
    <w:p>
      <w:pPr>
        <w:spacing w:after="120" w:before="260"/>
      </w:pPr>
      <w:r>
        <w:rPr>
          <w:rFonts w:ascii="Calibri" w:cs="Calibri" w:eastAsia="Calibri" w:hAnsi="Calibri"/>
          <w:b/>
          <w:bCs/>
          <w:color w:val="16233F"/>
          <w:sz w:val="24"/>
          <w:szCs w:val="24"/>
        </w:rPr>
        <w:t xml:space="preserve">Layer 1 (Recommended) — Calibrated Novelty Scoring</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Layer 1 formulates dark-matter detection as an open-set recognition problem: rather than assigning every sequence to a known category, the method assigns each sequence a calibrated novelty score reflecting its distance from characterized sequence space.</w:t>
            </w:r>
          </w:p>
        </w:tc>
      </w:tr>
    </w:tbl>
    <w:p>
      <w:pPr>
        <w:spacing w:after="120"/>
      </w:pPr>
    </w:p>
    <w:p>
      <w:pPr>
        <w:spacing w:after="160"/>
      </w:pPr>
      <w:r>
        <w:rPr>
          <w:rFonts w:ascii="Calibri" w:cs="Calibri" w:eastAsia="Calibri" w:hAnsi="Calibri"/>
          <w:color w:val="1F2937"/>
          <w:sz w:val="21"/>
          <w:szCs w:val="21"/>
        </w:rPr>
        <w:t xml:space="preserve">Sequences are embedded using Genos-m (and/or ESM-2 for comparison); the boundary of characterized sequence space is modeled using extreme-value-theory calibration or density-based scoring; dark-matter contigs are ranked by the resulting novelty score rather than forced into classification.</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Novelty: no published work applies a formal open-set/extreme-value-calibrated novelty score to a microbial genomic foundation model.</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Validation: the retrospective protocol from Section 2.5, supplemented by a held-out-family sanity test in which a known family is temporarily withheld and the method's ability to correctly flag it as anomalous is verified.</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Computational requirement: compatible with both available hardware configurations, as no model training is required — only forward inference and lightweight statistical modeling.</w:t>
      </w:r>
    </w:p>
    <w:p>
      <w:pPr>
        <w:spacing w:after="120" w:before="260"/>
      </w:pPr>
      <w:r>
        <w:rPr>
          <w:rFonts w:ascii="Calibri" w:cs="Calibri" w:eastAsia="Calibri" w:hAnsi="Calibri"/>
          <w:b/>
          <w:bCs/>
          <w:color w:val="16233F"/>
          <w:sz w:val="24"/>
          <w:szCs w:val="24"/>
        </w:rPr>
        <w:t xml:space="preserve">Layer 2 — Joint Sequence–Structure Embedding</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Layer 2 constructs a joint representation by fusing Genos-m sequence embeddings with structural signal (via ESMFold or the computationally lighter ProstT5 approximation), enabling detection of structural homology that sequence comparison alone cannot reveal.</w:t>
            </w:r>
          </w:p>
        </w:tc>
      </w:tr>
    </w:tbl>
    <w:p>
      <w:pPr>
        <w:spacing w:after="12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Computational constraint</w:t>
            </w:r>
          </w:p>
          <w:p>
            <w:pPr>
              <w:spacing w:after="0"/>
            </w:pPr>
            <w:r>
              <w:rPr>
                <w:rFonts w:ascii="Calibri" w:cs="Calibri" w:eastAsia="Calibri" w:hAnsi="Calibri"/>
                <w:color w:val="1F2937"/>
                <w:sz w:val="21"/>
                <w:szCs w:val="21"/>
              </w:rPr>
              <w:t xml:space="preserve">Full three-dimensional structure prediction (ESMFold) is computationally demanding on an 8GB-VRAM configuration; the recommended substitute is ProstT5, which approximates structural signal without full folding and remains compatible with available hardware. Full structure prediction should be reserved for a limited, high-priority subset of candidates.</w:t>
            </w:r>
          </w:p>
        </w:tc>
      </w:tr>
    </w:tbl>
    <w:p>
      <w:pPr>
        <w:spacing w:after="120"/>
      </w:pPr>
    </w:p>
    <w:p>
      <w:pPr>
        <w:spacing w:after="120" w:before="260"/>
      </w:pPr>
      <w:r>
        <w:rPr>
          <w:rFonts w:ascii="Calibri" w:cs="Calibri" w:eastAsia="Calibri" w:hAnsi="Calibri"/>
          <w:b/>
          <w:bCs/>
          <w:color w:val="16233F"/>
          <w:sz w:val="24"/>
          <w:szCs w:val="24"/>
        </w:rPr>
        <w:t xml:space="preserve">Layer 3 — Immune-Inspired Discrimination Framework</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Layer 3 adapts the self/non-self discrimination principle developed in Section 5: characterized sequence space is modeled as “self,” and deviations from this model are treated as candidates warranting further investigation.</w:t>
            </w:r>
          </w:p>
        </w:tc>
      </w:tr>
    </w:tbl>
    <w:p>
      <w:pPr>
        <w:spacing w:after="120"/>
      </w:pPr>
    </w:p>
    <w:p>
      <w:pPr>
        <w:spacing w:after="160"/>
      </w:pPr>
      <w:r>
        <w:rPr>
          <w:rFonts w:ascii="Calibri" w:cs="Calibri" w:eastAsia="Calibri" w:hAnsi="Calibri"/>
          <w:color w:val="1F2937"/>
          <w:sz w:val="21"/>
          <w:szCs w:val="21"/>
        </w:rPr>
        <w:t xml:space="preserve">This is implemented as a one-class density/kNN model over embeddings, adapted from an existing method previously demonstrated on protein anomaly detection, retargeted to a characterized/dark-matter framing using Genos-m embeddings.</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Novelty: no existing work frames microbial dark-matter detection explicitly around immune self/non-self discrimination, and the framing directly connects to the anomaly-detection orientation of the author's prior work.</w:t>
      </w:r>
    </w:p>
    <w:p>
      <w:pPr>
        <w:spacing w:after="120" w:before="260"/>
      </w:pPr>
      <w:r>
        <w:rPr>
          <w:rFonts w:ascii="Calibri" w:cs="Calibri" w:eastAsia="Calibri" w:hAnsi="Calibri"/>
          <w:b/>
          <w:bCs/>
          <w:color w:val="16233F"/>
          <w:sz w:val="24"/>
          <w:szCs w:val="24"/>
        </w:rPr>
        <w:t xml:space="preserve">Layer 4 — Multi-Signal Convergence</w:t>
      </w:r>
    </w:p>
    <w:p>
      <w:pPr>
        <w:spacing w:after="160"/>
      </w:pPr>
      <w:r>
        <w:rPr>
          <w:rFonts w:ascii="Calibri" w:cs="Calibri" w:eastAsia="Calibri" w:hAnsi="Calibri"/>
          <w:color w:val="1F2937"/>
          <w:sz w:val="21"/>
          <w:szCs w:val="21"/>
        </w:rPr>
        <w:t xml:space="preserve">Layer 4 applies the convergence principle from physical dark-matter detection (Section 4): three independent novelty signals — sequence-embedding novelty, structural novelty, and genomic-context novelty — are combined, with high confidence assigned only where all three signals agree.</w:t>
      </w:r>
    </w:p>
    <w:p>
      <w:pPr>
        <w:spacing w:after="120" w:before="260"/>
      </w:pPr>
      <w:r>
        <w:rPr>
          <w:rFonts w:ascii="Calibri" w:cs="Calibri" w:eastAsia="Calibri" w:hAnsi="Calibri"/>
          <w:b/>
          <w:bCs/>
          <w:color w:val="16233F"/>
          <w:sz w:val="24"/>
          <w:szCs w:val="24"/>
        </w:rPr>
        <w:t xml:space="preserve">Layer 5 — Statistical Discrimination of Coding Structure</w:t>
      </w:r>
    </w:p>
    <w:p>
      <w:pPr>
        <w:spacing w:after="160"/>
      </w:pPr>
      <w:r>
        <w:rPr>
          <w:rFonts w:ascii="Calibri" w:cs="Calibri" w:eastAsia="Calibri" w:hAnsi="Calibri"/>
          <w:color w:val="1F2937"/>
          <w:sz w:val="21"/>
          <w:szCs w:val="21"/>
        </w:rPr>
        <w:t xml:space="preserve">Layer 5 applies statistical methods drawn from computational analysis of undeciphered scripts (Section 4) — n-gram entropy and positional-structure statistics over Genos-m token streams — to distinguish genuinely functional dark-matter sequences from spurious or non-coding artifacts, using shuffled and intergenic sequences as an available control group.</w:t>
      </w:r>
    </w:p>
    <w:p>
      <w:r>
        <w:br w:type="page"/>
      </w:r>
    </w:p>
    <w:p>
      <w:pPr>
        <w:pBdr>
          <w:bottom w:val="single" w:color="16233F" w:sz="10" w:space="6"/>
        </w:pBdr>
        <w:spacing w:after="60" w:before="420"/>
      </w:pPr>
      <w:r>
        <w:rPr>
          <w:rFonts w:ascii="Calibri" w:cs="Calibri" w:eastAsia="Calibri" w:hAnsi="Calibri"/>
          <w:b/>
          <w:bCs/>
          <w:color w:val="1D4ED8"/>
          <w:sz w:val="30"/>
          <w:szCs w:val="30"/>
        </w:rPr>
        <w:t xml:space="preserve">§7  </w:t>
      </w:r>
      <w:r>
        <w:rPr>
          <w:rFonts w:ascii="Calibri" w:cs="Calibri" w:eastAsia="Calibri" w:hAnsi="Calibri"/>
          <w:b/>
          <w:bCs/>
          <w:color w:val="16233F"/>
          <w:sz w:val="30"/>
          <w:szCs w:val="30"/>
        </w:rPr>
        <w:t xml:space="preserve">RECOMMENDED APPROACH</w:t>
      </w:r>
    </w:p>
    <w:p>
      <w:pPr>
        <w:spacing w:after="200"/>
      </w:pPr>
      <w:r>
        <w:rPr>
          <w:rFonts w:ascii="Calibri" w:cs="Calibri" w:eastAsia="Calibri" w:hAnsi="Calibri"/>
          <w:i/>
          <w:iCs/>
          <w:color w:val="5B6472"/>
          <w:sz w:val="20"/>
          <w:szCs w:val="20"/>
        </w:rPr>
        <w:t xml:space="preserve">Rationale for the proposed methodology and its implementation timeline</w:t>
      </w:r>
    </w:p>
    <w:tbl>
      <w:tblPr>
        <w:tblW w:type="dxa" w:w="9720"/>
        <w:tblBorders>
          <w:top w:val="single" w:color="EFFAF2" w:sz="4"/>
          <w:left w:val="single" w:color="15803D" w:sz="24"/>
          <w:bottom w:val="single" w:color="EFFAF2" w:sz="4"/>
          <w:right w:val="single" w:color="EFFAF2" w:sz="4"/>
          <w:insideH w:val="none" w:color="FFFFFF" w:sz="0"/>
          <w:insideV w:val="none" w:color="FFFFFF" w:sz="0"/>
        </w:tblBorders>
      </w:tblPr>
      <w:tblGrid>
        <w:gridCol w:w="100"/>
      </w:tblGrid>
      <w:tr>
        <w:trPr>
          <w:cantSplit/>
        </w:trPr>
        <w:tc>
          <w:tcPr>
            <w:tcW w:type="dxa" w:w="9720"/>
            <w:shd w:fill="EFFAF2" w:val="clear"/>
            <w:tcMar>
              <w:top w:type="dxa" w:w="140"/>
              <w:left w:type="dxa" w:w="220"/>
              <w:bottom w:type="dxa" w:w="140"/>
              <w:right w:type="dxa" w:w="220"/>
            </w:tcMar>
          </w:tcPr>
          <w:p>
            <w:pPr>
              <w:spacing w:after="70"/>
            </w:pPr>
            <w:r>
              <w:rPr>
                <w:rFonts w:ascii="Calibri" w:cs="Calibri" w:eastAsia="Calibri" w:hAnsi="Calibri"/>
                <w:b/>
                <w:bCs/>
                <w:caps/>
                <w:color w:val="15803D"/>
                <w:sz w:val="19"/>
                <w:szCs w:val="19"/>
              </w:rPr>
              <w:t xml:space="preserve">PRIMARY RECOMMENDATION</w:t>
            </w:r>
          </w:p>
          <w:p>
            <w:pPr>
              <w:spacing w:after="0"/>
            </w:pPr>
            <w:r>
              <w:rPr>
                <w:rFonts w:ascii="Calibri" w:cs="Calibri" w:eastAsia="Calibri" w:hAnsi="Calibri"/>
                <w:color w:val="1F2937"/>
                <w:sz w:val="21"/>
                <w:szCs w:val="21"/>
              </w:rPr>
              <w:t xml:space="preserve">Layer 1 (calibrated novelty scoring) constitutes the methodological core of the project, with the Layer 3 immune-inspired framing integrated as the supporting theoretical narrative. A limited extension drawn from Layer 2 or Layer 4 is incorporated in the final phase if time permits.</w:t>
            </w:r>
          </w:p>
        </w:tc>
      </w:tr>
    </w:tbl>
    <w:p>
      <w:pPr>
        <w:spacing w:after="160"/>
      </w:pPr>
    </w:p>
    <w:p>
      <w:pPr>
        <w:spacing w:after="120" w:before="260"/>
      </w:pPr>
      <w:r>
        <w:rPr>
          <w:rFonts w:ascii="Calibri" w:cs="Calibri" w:eastAsia="Calibri" w:hAnsi="Calibri"/>
          <w:b/>
          <w:bCs/>
          <w:color w:val="16233F"/>
          <w:sz w:val="24"/>
          <w:szCs w:val="24"/>
        </w:rPr>
        <w:t xml:space="preserve">Justification</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Layer 1 provides the strongest ratio of methodological novelty to what is realistically implementable within a single academic term on the available hardware.</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The retrospective validation protocol directly resolves the field's central methodological obstacle — the absence of contemporaneous ground truth.</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Layer 3 reuses the Layer 1 embeddings, adding minimal additional implementation cost while providing a well-grounded theoretical narrative for the method's validity.</w:t>
      </w:r>
    </w:p>
    <w:p>
      <w:pPr>
        <w:spacing w:after="120" w:before="260"/>
      </w:pPr>
      <w:r>
        <w:rPr>
          <w:rFonts w:ascii="Calibri" w:cs="Calibri" w:eastAsia="Calibri" w:hAnsi="Calibri"/>
          <w:b/>
          <w:bCs/>
          <w:color w:val="16233F"/>
          <w:sz w:val="24"/>
          <w:szCs w:val="24"/>
        </w:rPr>
        <w:t xml:space="preserve">Embedding pipeline and fallback strategy</w:t>
      </w: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Dependence on an unpublished model</w:t>
            </w:r>
          </w:p>
          <w:p>
            <w:pPr>
              <w:spacing w:after="0"/>
            </w:pPr>
            <w:r>
              <w:rPr>
                <w:rFonts w:ascii="Calibri" w:cs="Calibri" w:eastAsia="Calibri" w:hAnsi="Calibri"/>
                <w:color w:val="1F2937"/>
                <w:sz w:val="21"/>
                <w:szCs w:val="21"/>
              </w:rPr>
              <w:t xml:space="preserve">Genos-m is the primary embedding source but is a non-peer-reviewed May 2026 preprint; its long-term availability, stability, and reported performance cannot be treated as assured.</w:t>
            </w:r>
          </w:p>
        </w:tc>
      </w:tr>
    </w:tbl>
    <w:p>
      <w:pPr>
        <w:spacing w:after="120"/>
      </w:pPr>
    </w:p>
    <w:p>
      <w:pPr>
        <w:spacing w:after="160"/>
      </w:pPr>
      <w:r>
        <w:rPr>
          <w:rFonts w:ascii="Calibri" w:cs="Calibri" w:eastAsia="Calibri" w:hAnsi="Calibri"/>
          <w:color w:val="1F2937"/>
          <w:sz w:val="21"/>
          <w:szCs w:val="21"/>
        </w:rPr>
        <w:t xml:space="preserve">ESM-2 is adopted as a formal fallback and comparison embedding pipeline rather than an optional afterthought. Both embeddings are extracted in Phase 1 for a small labeled subset of characterized sequences, and their relative separation of known functional categories is compared directly. This serves two purposes: it de-risks the project against Genos-m instability or inaccessibility, and it produces evidence for or against the claim that genome-level embeddings provide value beyond an established protein-level model. If Genos-m underperforms or becomes unavailable at any phase boundary, ESM-2 becomes the primary embedding source with no change to the surrounding methodology.</w:t>
      </w:r>
    </w:p>
    <w:p>
      <w:pPr>
        <w:spacing w:after="120" w:before="260"/>
      </w:pPr>
      <w:r>
        <w:rPr>
          <w:rFonts w:ascii="Calibri" w:cs="Calibri" w:eastAsia="Calibri" w:hAnsi="Calibri"/>
          <w:b/>
          <w:bCs/>
          <w:color w:val="16233F"/>
          <w:sz w:val="24"/>
          <w:szCs w:val="24"/>
        </w:rPr>
        <w:t xml:space="preserve">Evaluation protocol</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METRICS, DEFINED BEFORE IMPLEMENTATION BEGINS</w:t>
            </w:r>
          </w:p>
          <w:p>
            <w:r>
              <w:rPr>
                <w:rFonts w:ascii="Calibri" w:cs="Calibri" w:eastAsia="Calibri" w:hAnsi="Calibri"/>
                <w:color w:val="1F2937"/>
                <w:sz w:val="21"/>
                <w:szCs w:val="21"/>
              </w:rPr>
              <w:t xml:space="preserve">The novelty scorer is evaluated using: (1) Precision@K — the proportion of the top K ranked candidates (by novelty score) that correspond to sequences characterized between the historical and current snapshots, at K values fixed in advance; (2) AUROC on the held-out-family sanity test, distinguishing withheld known families from genuinely characterized-then-dark sequences; and (3) a calibration check comparing predicted novelty scores against observed characterization outcomes. These metrics, and the specific value(s) of K, are fixed prior to the start of Phase 2 and are not adjusted post hoc based on results.</w:t>
            </w:r>
          </w:p>
        </w:tc>
      </w:tr>
    </w:tbl>
    <w:p>
      <w:pPr>
        <w:spacing w:after="160"/>
      </w:pPr>
    </w:p>
    <w:p>
      <w:pPr>
        <w:spacing w:after="120" w:before="260"/>
      </w:pPr>
      <w:r>
        <w:rPr>
          <w:rFonts w:ascii="Calibri" w:cs="Calibri" w:eastAsia="Calibri" w:hAnsi="Calibri"/>
          <w:b/>
          <w:bCs/>
          <w:color w:val="16233F"/>
          <w:sz w:val="24"/>
          <w:szCs w:val="24"/>
        </w:rPr>
        <w:t xml:space="preserve">Dataset feasibility and go/no-go criterion</w:t>
      </w:r>
    </w:p>
    <w:p>
      <w:pPr>
        <w:spacing w:after="160"/>
      </w:pPr>
      <w:r>
        <w:rPr>
          <w:rFonts w:ascii="Calibri" w:cs="Calibri" w:eastAsia="Calibri" w:hAnsi="Calibri"/>
          <w:color w:val="1F2937"/>
          <w:sz w:val="21"/>
          <w:szCs w:val="21"/>
        </w:rPr>
        <w:t xml:space="preserve">The number of sequences that were dark matter at the historical snapshot and have since been characterized — the retrospective positive-label set — determines whether Precision@K and AUROC can be estimated with reasonable statistical confidence. This quantity is estimated during Phase 1, prior to any model development.</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Minimum viable sample size: a positive-label set of at least 50–100 characterized sequences is treated as the minimum required for a stable AUROC estimate; below this, confidence intervals are too wide to support the central claim.</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Go/no-go decision: if the projected positive-label count falls below this threshold using the initially selected snapshot pair, the interval between snapshots is widened, or a broader combination of reference resources (GTDB together with Pfam/UniProt updates) is incorporated, before Phase 2 begins. If neither adjustment yields a viable sample, Layer 5 (statistical discrimination, which does not require the retrospective positive-label set) is promoted to the primary contribution.</w:t>
      </w:r>
    </w:p>
    <w:p>
      <w:pPr>
        <w:spacing w:after="120" w:before="260"/>
      </w:pPr>
      <w:r>
        <w:rPr>
          <w:rFonts w:ascii="Calibri" w:cs="Calibri" w:eastAsia="Calibri" w:hAnsi="Calibri"/>
          <w:b/>
          <w:bCs/>
          <w:color w:val="16233F"/>
          <w:sz w:val="24"/>
          <w:szCs w:val="24"/>
        </w:rPr>
        <w:t xml:space="preserve">Novelty verification protocol</w:t>
      </w:r>
    </w:p>
    <w:p>
      <w:pPr>
        <w:spacing w:after="160"/>
      </w:pPr>
      <w:r>
        <w:rPr>
          <w:rFonts w:ascii="Calibri" w:cs="Calibri" w:eastAsia="Calibri" w:hAnsi="Calibri"/>
          <w:color w:val="1F2937"/>
          <w:sz w:val="21"/>
          <w:szCs w:val="21"/>
        </w:rPr>
        <w:t xml:space="preserve">Methodological novelty claims in Section 6 are provisional pending a systematic literature search rather than final assertions. A structured search is conducted across PubMed, bioRxiv, arXiv, and Semantic Scholar using combinations of terms covering open-set recognition, novelty detection, and immune-inspired methods applied to genomic or protein sequence data. This search is performed once during Phase 1 to confirm the project's positioning, and repeated immediately prior to manuscript submission to capture work published during the project timeline.</w:t>
      </w:r>
    </w:p>
    <w:p>
      <w:pPr>
        <w:spacing w:after="120" w:before="260"/>
      </w:pPr>
      <w:r>
        <w:rPr>
          <w:rFonts w:ascii="Calibri" w:cs="Calibri" w:eastAsia="Calibri" w:hAnsi="Calibri"/>
          <w:b/>
          <w:bCs/>
          <w:color w:val="16233F"/>
          <w:sz w:val="24"/>
          <w:szCs w:val="24"/>
        </w:rPr>
        <w:t xml:space="preserve">Target venue and publication timeline</w:t>
      </w:r>
    </w:p>
    <w:p>
      <w:pPr>
        <w:spacing w:after="160"/>
      </w:pPr>
      <w:r>
        <w:rPr>
          <w:rFonts w:ascii="Calibri" w:cs="Calibri" w:eastAsia="Calibri" w:hAnsi="Calibri"/>
          <w:color w:val="1F2937"/>
          <w:sz w:val="21"/>
          <w:szCs w:val="21"/>
        </w:rPr>
        <w:t xml:space="preserve">Two Scopus-indexed venues in computational biology are identified as realistic submission targets, consistent with the author's existing practice of scoping each project to a specific venue in advance.</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gridCol w:w="100"/>
      </w:tblGrid>
      <w:tr>
        <w:trPr>
          <w:tblHeader/>
        </w:trPr>
        <w:tc>
          <w:tcPr>
            <w:tcW w:type="dxa" w:w="2916"/>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Venue</w:t>
            </w:r>
          </w:p>
        </w:tc>
        <w:tc>
          <w:tcPr>
            <w:tcW w:type="dxa" w:w="2333"/>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Indexing / tier</w:t>
            </w:r>
          </w:p>
        </w:tc>
        <w:tc>
          <w:tcPr>
            <w:tcW w:type="dxa" w:w="2333"/>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cycle</w:t>
            </w:r>
          </w:p>
        </w:tc>
        <w:tc>
          <w:tcPr>
            <w:tcW w:type="dxa" w:w="2138"/>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Fit for this timeline</w:t>
            </w:r>
          </w:p>
        </w:tc>
      </w:tr>
      <w:tr>
        <w:trPr>
          <w:cantSplit w:val="false"/>
        </w:trPr>
        <w:tc>
          <w:tcPr>
            <w:tcW w:type="dxa" w:w="291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ACM-BCB (ACM Conference on Bioinformatics, Computational Biology, and Health Informatics)</w:t>
            </w:r>
          </w:p>
        </w:tc>
        <w:tc>
          <w:tcPr>
            <w:tcW w:type="dxa" w:w="233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ACM SIGBio flagship; accepted papers published in an ACM journal indexed by Scopus and Web of Science</w:t>
            </w:r>
          </w:p>
        </w:tc>
        <w:tc>
          <w:tcPr>
            <w:tcW w:type="dxa" w:w="233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Prior cycle (ACM-BCB 2026) closed February 2026 for a June/July 2026 conference</w:t>
            </w:r>
          </w:p>
        </w:tc>
        <w:tc>
          <w:tcPr>
            <w:tcW w:type="dxa" w:w="213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Primary target — the equivalent 2027 deadline is expected in the Feb–Mar 2027 window, providing roughly 3–4 months after Phase 4 for manuscript refinement.</w:t>
            </w:r>
          </w:p>
        </w:tc>
      </w:tr>
      <w:tr>
        <w:trPr>
          <w:cantSplit w:val="false"/>
        </w:trPr>
        <w:tc>
          <w:tcPr>
            <w:tcW w:type="dxa" w:w="291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IEEE BIBM (International Conference on Bioinformatics and Biomedicine)</w:t>
            </w:r>
          </w:p>
        </w:tc>
        <w:tc>
          <w:tcPr>
            <w:tcW w:type="dxa" w:w="233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CCF-B; IEEE Xplore, Ei Compendex, Scopus</w:t>
            </w:r>
          </w:p>
        </w:tc>
        <w:tc>
          <w:tcPr>
            <w:tcW w:type="dxa" w:w="233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BIBM 2026 closed July 5, 2026 for a December 2026 conference</w:t>
            </w:r>
          </w:p>
        </w:tc>
        <w:tc>
          <w:tcPr>
            <w:tcW w:type="dxa" w:w="213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Fallback target with substantially more runway — the 2027 cycle is expected to close around July 2027.</w:t>
            </w:r>
          </w:p>
        </w:tc>
      </w:tr>
    </w:tbl>
    <w:p>
      <w:pPr>
        <w:spacing w:after="16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Provisional dates</w:t>
            </w:r>
          </w:p>
          <w:p>
            <w:pPr>
              <w:spacing w:after="0"/>
            </w:pPr>
            <w:r>
              <w:rPr>
                <w:rFonts w:ascii="Calibri" w:cs="Calibri" w:eastAsia="Calibri" w:hAnsi="Calibri"/>
                <w:color w:val="1F2937"/>
                <w:sz w:val="21"/>
                <w:szCs w:val="21"/>
              </w:rPr>
              <w:t xml:space="preserve">Official 2027 call-for-papers dates were not yet published for either venue at the time of writing; the windows above are projected from each venue's prior-year cycle and should be confirmed against the official conference site once released.</w:t>
            </w:r>
          </w:p>
        </w:tc>
      </w:tr>
    </w:tbl>
    <w:p>
      <w:r>
        <w:br w:type="page"/>
      </w:r>
    </w:p>
    <w:p>
      <w:pPr>
        <w:spacing w:after="120" w:before="260"/>
      </w:pPr>
      <w:r>
        <w:rPr>
          <w:rFonts w:ascii="Calibri" w:cs="Calibri" w:eastAsia="Calibri" w:hAnsi="Calibri"/>
          <w:b/>
          <w:bCs/>
          <w:color w:val="16233F"/>
          <w:sz w:val="24"/>
          <w:szCs w:val="24"/>
        </w:rPr>
        <w:t xml:space="preserve">Phase overview</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tblGrid>
      <w:tr>
        <w:trPr>
          <w:tblHeader/>
        </w:trPr>
        <w:tc>
          <w:tcPr>
            <w:tcW w:type="dxa" w:w="1166"/>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175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Weeks</w:t>
            </w:r>
          </w:p>
        </w:tc>
        <w:tc>
          <w:tcPr>
            <w:tcW w:type="dxa" w:w="6804"/>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objective</w:t>
            </w:r>
          </w:p>
        </w:tc>
      </w:tr>
      <w:tr>
        <w:trPr>
          <w:cantSplit w:val="false"/>
        </w:trPr>
        <w:tc>
          <w:tcPr>
            <w:tcW w:type="dxa" w:w="116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1</w:t>
            </w:r>
          </w:p>
        </w:tc>
        <w:tc>
          <w:tcPr>
            <w:tcW w:type="dxa" w:w="175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1–3 (timeboxed)</w:t>
            </w:r>
          </w:p>
        </w:tc>
        <w:tc>
          <w:tcPr>
            <w:tcW w:type="dxa" w:w="6804"/>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Construct the retrospective benchmark and embedding pipeline; resolve the go/no-go dataset-size gate.</w:t>
            </w:r>
          </w:p>
        </w:tc>
      </w:tr>
      <w:tr>
        <w:trPr>
          <w:cantSplit w:val="false"/>
        </w:trPr>
        <w:tc>
          <w:tcPr>
            <w:tcW w:type="dxa" w:w="116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2</w:t>
            </w:r>
          </w:p>
        </w:tc>
        <w:tc>
          <w:tcPr>
            <w:tcW w:type="dxa" w:w="175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4–6</w:t>
            </w:r>
          </w:p>
        </w:tc>
        <w:tc>
          <w:tcPr>
            <w:tcW w:type="dxa" w:w="6804"/>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Develop and calibrate the Layer 1 novelty-scoring model against the metrics defined above.</w:t>
            </w:r>
          </w:p>
        </w:tc>
      </w:tr>
      <w:tr>
        <w:trPr>
          <w:cantSplit w:val="false"/>
        </w:trPr>
        <w:tc>
          <w:tcPr>
            <w:tcW w:type="dxa" w:w="116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3</w:t>
            </w:r>
          </w:p>
        </w:tc>
        <w:tc>
          <w:tcPr>
            <w:tcW w:type="dxa" w:w="175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7–9</w:t>
            </w:r>
          </w:p>
        </w:tc>
        <w:tc>
          <w:tcPr>
            <w:tcW w:type="dxa" w:w="6804"/>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Integrate the Layer 3 immune-inspired discrimination framework.</w:t>
            </w:r>
          </w:p>
        </w:tc>
      </w:tr>
      <w:tr>
        <w:trPr>
          <w:cantSplit w:val="false"/>
        </w:trPr>
        <w:tc>
          <w:tcPr>
            <w:tcW w:type="dxa" w:w="116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4</w:t>
            </w:r>
          </w:p>
        </w:tc>
        <w:tc>
          <w:tcPr>
            <w:tcW w:type="dxa" w:w="175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10–12</w:t>
            </w:r>
          </w:p>
        </w:tc>
        <w:tc>
          <w:tcPr>
            <w:tcW w:type="dxa" w:w="6804"/>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 a scoped extension (if time permits) and prepare the manuscript.</w:t>
            </w:r>
          </w:p>
        </w:tc>
      </w:tr>
    </w:tbl>
    <w:p>
      <w:pPr>
        <w:spacing w:after="18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Phase 1 time-box and contingency</w:t>
            </w:r>
          </w:p>
          <w:p>
            <w:pPr>
              <w:spacing w:after="0"/>
            </w:pPr>
            <w:r>
              <w:rPr>
                <w:rFonts w:ascii="Calibri" w:cs="Calibri" w:eastAsia="Calibri" w:hAnsi="Calibri"/>
                <w:color w:val="1F2937"/>
                <w:sz w:val="21"/>
                <w:szCs w:val="21"/>
              </w:rPr>
              <w:t xml:space="preserve">Phase 1 (reference-snapshot construction and embedding pipeline) is fixed at three weeks. If GTDB/snapshot differencing is not complete by the end of Week 3, the contingency is to narrow scope to a smaller set of taxa or gene families rather than extend the phase — the remaining schedule is not renegotiated. A partial, narrower benchmark that supports Phase 2 on schedule is preferred over a complete benchmark that delays it.</w:t>
            </w:r>
          </w:p>
        </w:tc>
      </w:tr>
    </w:tbl>
    <w:p>
      <w:pPr>
        <w:spacing w:after="120"/>
      </w:pPr>
    </w:p>
    <w:p>
      <w:pPr>
        <w:spacing w:after="160"/>
      </w:pPr>
      <w:r>
        <w:rPr>
          <w:rFonts w:ascii="Calibri" w:cs="Calibri" w:eastAsia="Calibri" w:hAnsi="Calibri"/>
          <w:color w:val="1F2937"/>
          <w:sz w:val="21"/>
          <w:szCs w:val="21"/>
        </w:rPr>
        <w:t xml:space="preserve">Responsibilities for each phase are assigned by track in Section 8.</w:t>
      </w:r>
    </w:p>
    <w:p>
      <w:pPr>
        <w:spacing w:after="120" w:before="260"/>
      </w:pPr>
      <w:r>
        <w:rPr>
          <w:rFonts w:ascii="Calibri" w:cs="Calibri" w:eastAsia="Calibri" w:hAnsi="Calibri"/>
          <w:b/>
          <w:bCs/>
          <w:color w:val="16233F"/>
          <w:sz w:val="24"/>
          <w:szCs w:val="24"/>
        </w:rPr>
        <w:t xml:space="preserve">Decision points and contingencies</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If the held-out-family sanity test performs poorly, the embedding space is not adequately separating novelty — evaluate an alternative embedding model (ESM-2, per the fallback strategy above) or targeted fine-tuning before proceeding.</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If the retrospective evaluation set proves too small (see go/no-go criterion above), widen the interval between the historical and current reference snapshots or broaden the reference resources used.</w:t>
      </w:r>
    </w:p>
    <w:p>
      <w:pPr>
        <w:spacing w:after="100"/>
        <w:ind w:left="320" w:hanging="200"/>
      </w:pPr>
      <w:r>
        <w:rPr>
          <w:rFonts w:ascii="Calibri" w:cs="Calibri" w:eastAsia="Calibri" w:hAnsi="Calibri"/>
          <w:b/>
          <w:bCs/>
          <w:color w:val="1D4ED8"/>
          <w:sz w:val="21"/>
          <w:szCs w:val="21"/>
        </w:rPr>
        <w:t xml:space="preserve">–  </w:t>
      </w:r>
      <w:r>
        <w:rPr>
          <w:rFonts w:ascii="Calibri" w:cs="Calibri" w:eastAsia="Calibri" w:hAnsi="Calibri"/>
          <w:color w:val="1F2937"/>
          <w:sz w:val="21"/>
          <w:szCs w:val="21"/>
        </w:rPr>
        <w:t xml:space="preserve">If full structure prediction consistently exceeds available memory, adopt the ProstT5 approximation as the permanent substitute.</w:t>
      </w:r>
    </w:p>
    <w:p>
      <w:pPr>
        <w:pBdr>
          <w:bottom w:val="single" w:color="16233F" w:sz="10" w:space="6"/>
        </w:pBdr>
        <w:spacing w:after="60" w:before="420"/>
      </w:pPr>
      <w:r>
        <w:rPr>
          <w:rFonts w:ascii="Calibri" w:cs="Calibri" w:eastAsia="Calibri" w:hAnsi="Calibri"/>
          <w:b/>
          <w:bCs/>
          <w:color w:val="1D4ED8"/>
          <w:sz w:val="30"/>
          <w:szCs w:val="30"/>
        </w:rPr>
        <w:t xml:space="preserve">§8  </w:t>
      </w:r>
      <w:r>
        <w:rPr>
          <w:rFonts w:ascii="Calibri" w:cs="Calibri" w:eastAsia="Calibri" w:hAnsi="Calibri"/>
          <w:b/>
          <w:bCs/>
          <w:color w:val="16233F"/>
          <w:sz w:val="30"/>
          <w:szCs w:val="30"/>
        </w:rPr>
        <w:t xml:space="preserve">PROJECT ORGANIZATION AND WORK DIVISION</w:t>
      </w:r>
    </w:p>
    <w:p>
      <w:pPr>
        <w:spacing w:after="200"/>
      </w:pPr>
      <w:r>
        <w:rPr>
          <w:rFonts w:ascii="Calibri" w:cs="Calibri" w:eastAsia="Calibri" w:hAnsi="Calibri"/>
          <w:i/>
          <w:iCs/>
          <w:color w:val="5B6472"/>
          <w:sz w:val="20"/>
          <w:szCs w:val="20"/>
        </w:rPr>
        <w:t xml:space="preserve">Division of responsibilities across the two-person team, by phase</w:t>
      </w:r>
    </w:p>
    <w:p>
      <w:pPr>
        <w:spacing w:after="160"/>
      </w:pPr>
      <w:r>
        <w:rPr>
          <w:rFonts w:ascii="Calibri" w:cs="Calibri" w:eastAsia="Calibri" w:hAnsi="Calibri"/>
          <w:color w:val="1F2937"/>
          <w:sz w:val="21"/>
          <w:szCs w:val="21"/>
        </w:rPr>
        <w:t xml:space="preserve">The project is organized into two coordinated tracks, aligned with the phase structure defined in Section 7. Track 1 encompasses methodological design, calibration decisions, and analytical interpretation, culminating in manuscript authorship. Track 2 encompasses pipeline implementation, experimental execution, and the production of figures and results specified by Track 1. Both tracks are integral to project completion; tasks within each phase proceed in parallel, with synchronization at each phase boundary.</w:t>
      </w:r>
    </w:p>
    <w:p>
      <w:pPr>
        <w:spacing w:after="120" w:before="260"/>
      </w:pPr>
      <w:r>
        <w:rPr>
          <w:rFonts w:ascii="Calibri" w:cs="Calibri" w:eastAsia="Calibri" w:hAnsi="Calibri"/>
          <w:b/>
          <w:bCs/>
          <w:color w:val="16233F"/>
          <w:sz w:val="24"/>
          <w:szCs w:val="24"/>
        </w:rPr>
        <w:t xml:space="preserve">Functional coverage across tracks</w:t>
      </w:r>
    </w:p>
    <w:p>
      <w:pPr>
        <w:spacing w:after="160"/>
      </w:pPr>
      <w:r>
        <w:rPr>
          <w:rFonts w:ascii="Calibri" w:cs="Calibri" w:eastAsia="Calibri" w:hAnsi="Calibri"/>
          <w:color w:val="1F2937"/>
          <w:sz w:val="21"/>
          <w:szCs w:val="21"/>
        </w:rPr>
        <w:t xml:space="preserve">In addition to the phase-by-phase division below, the following table maps each core functional area of the project onto the two tracks, so that ownership of each competency is unambiguous.</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tblGrid>
      <w:tr>
        <w:trPr>
          <w:tblHeader/>
        </w:trPr>
        <w:tc>
          <w:tcPr>
            <w:tcW w:type="dxa" w:w="2527"/>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Functional area</w:t>
            </w:r>
          </w:p>
        </w:tc>
        <w:tc>
          <w:tcPr>
            <w:tcW w:type="dxa" w:w="3596"/>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1</w:t>
            </w:r>
          </w:p>
        </w:tc>
        <w:tc>
          <w:tcPr>
            <w:tcW w:type="dxa" w:w="3596"/>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2</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Data engineering</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Specifies snapshot boundaries and data provenance standards.</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Owns ingestion, preprocessing, and the snapshot-differencing pipeline.</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Embedding / model development</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Selects models and embedding protocol; owns the Genos-m/ESM-2 comparison design.</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Implements and runs embedding extraction for both models.</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Statistical analysis</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Owns metric definition, calibration methodology, and result interpretation.</w:t>
            </w:r>
          </w:p>
        </w:tc>
        <w:tc>
          <w:tcPr>
            <w:tcW w:type="dxa" w:w="3596"/>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Implements scoring models and produces diagnostic statistics to specification.</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Structural biology / validation</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Specifies structure-prediction and filtering criteria; interprets filtering statistics.</w:t>
            </w:r>
          </w:p>
        </w:tc>
        <w:tc>
          <w:tcPr>
            <w:tcW w:type="dxa" w:w="3596"/>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Executes structure prediction and reports filtering statistics per specification.</w:t>
            </w:r>
          </w:p>
        </w:tc>
      </w:tr>
    </w:tbl>
    <w:p>
      <w:pPr>
        <w:spacing w:after="200"/>
      </w:pPr>
    </w:p>
    <w:p>
      <w:pPr>
        <w:spacing w:after="120" w:before="260"/>
      </w:pPr>
      <w:r>
        <w:rPr>
          <w:rFonts w:ascii="Calibri" w:cs="Calibri" w:eastAsia="Calibri" w:hAnsi="Calibri"/>
          <w:b/>
          <w:bCs/>
          <w:color w:val="16233F"/>
          <w:sz w:val="24"/>
          <w:szCs w:val="24"/>
        </w:rPr>
        <w:t xml:space="preserve">Phase 1 — Benchmark Construction and Embedding Pipeline (Weeks 1–3, time-boxed)</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1 — Methodology, Design &amp; Analysis (Angshuman)</w:t>
            </w:r>
          </w:p>
        </w:tc>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2 — Implementation &amp; Experimental Execution</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Define the temporal boundary separating the historical and current reference-database snapshots, with justification for the selected interval.</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 the data-ingestion and preprocessing pipeline for both reference snapshots.</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Specify the embedding-extraction protocol, including model selection, layer/pooling strategy, and batching approach.</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Configure the compute environment and integrate Genos-m and ESM-2 inference as parallel, interchangeable pipelines.</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Estimate the retrospective positive-label dataset size and resolve the go/no-go criterion defined in Section 7 before Phase 2 begins.</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Build the snapshot-differencing procedure identifying sequences characterized between the two time points, and produce the positive-label count for the go/no-go decision.</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Conduct the initial systematic literature search (Section 7) to confirm the project's novelty positioning.</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Run the Genos-m/ESM-2 comparison on a small labeled subset and report the result to Track 1.</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Establish documentation and reproducibility standards for the dataset.</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Produce the dataset manifest and preliminary summary statistics.</w:t>
            </w:r>
          </w:p>
        </w:tc>
      </w:tr>
    </w:tbl>
    <w:p>
      <w:pPr>
        <w:spacing w:after="200"/>
      </w:pPr>
    </w:p>
    <w:p>
      <w:r>
        <w:br w:type="page"/>
      </w:r>
    </w:p>
    <w:p>
      <w:pPr>
        <w:spacing w:after="120" w:before="260"/>
      </w:pPr>
      <w:r>
        <w:rPr>
          <w:rFonts w:ascii="Calibri" w:cs="Calibri" w:eastAsia="Calibri" w:hAnsi="Calibri"/>
          <w:b/>
          <w:bCs/>
          <w:color w:val="16233F"/>
          <w:sz w:val="24"/>
          <w:szCs w:val="24"/>
        </w:rPr>
        <w:t xml:space="preserve">Phase 2 — Novelty-Scoring Model Development (Weeks 4–6)</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1 — Methodology, Design &amp; Analysis (Angshuman)</w:t>
            </w:r>
          </w:p>
        </w:tc>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2 — Implementation &amp; Experimental Execution</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Select and formalize the novelty-scoring methodology (extreme-value calibration versus density-based scoring), against the Precision@K/AUROC metrics fixed in Section 7.</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 the novelty-scoring model to Track 1 specification.</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Design the held-out-family validation protocol.</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Execute the held-out-family sanity test across candidate configurations.</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Define calibration thresholds and interpret preliminary results.</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Generate diagnostic outputs, including score distributions and ROC/AUC curves.</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Determine whether the embedding space requires adjustment based on initial validation outcomes.</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If time permits, implement a lightweight version of the Layer 4 multi-signal check as an early, low-cost secondary validation signal.</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Maintain the experiment log and version-controlled results.</w:t>
            </w:r>
          </w:p>
        </w:tc>
      </w:tr>
    </w:tbl>
    <w:p>
      <w:pPr>
        <w:spacing w:after="200"/>
      </w:pPr>
    </w:p>
    <w:p>
      <w:pPr>
        <w:spacing w:after="120" w:before="260"/>
      </w:pPr>
      <w:r>
        <w:rPr>
          <w:rFonts w:ascii="Calibri" w:cs="Calibri" w:eastAsia="Calibri" w:hAnsi="Calibri"/>
          <w:b/>
          <w:bCs/>
          <w:color w:val="16233F"/>
          <w:sz w:val="24"/>
          <w:szCs w:val="24"/>
        </w:rPr>
        <w:t xml:space="preserve">Phase 3 — Immune-Inspired Framework Integration (Weeks 7–9)</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1 — Methodology, Design &amp; Analysis (Angshuman)</w:t>
            </w:r>
          </w:p>
        </w:tc>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2 — Implementation &amp; Experimental Execution</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Formalize the self/non-self discrimination framework and its evaluation methodology.</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 the one-class density/kNN discrimination model.</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Integrate supporting literature into the methodological narrative.</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Execute parameter-sweep experiments as specified by Track 1.</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Review comparative results against Phase 2 outputs and determine refinements.</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Produce comparison tables and figures for review.</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Finalize model configuration for the results reported in the manuscript.</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Support reproducibility verification of completed experimental runs.</w:t>
            </w:r>
          </w:p>
        </w:tc>
      </w:tr>
    </w:tbl>
    <w:p>
      <w:pPr>
        <w:spacing w:after="200"/>
      </w:pPr>
    </w:p>
    <w:p>
      <w:pPr>
        <w:spacing w:after="120" w:before="260"/>
      </w:pPr>
      <w:r>
        <w:rPr>
          <w:rFonts w:ascii="Calibri" w:cs="Calibri" w:eastAsia="Calibri" w:hAnsi="Calibri"/>
          <w:b/>
          <w:bCs/>
          <w:color w:val="16233F"/>
          <w:sz w:val="24"/>
          <w:szCs w:val="24"/>
        </w:rPr>
        <w:t xml:space="preserve">Phase 4 — Extension, Analysis, and Manuscript Preparation (Weeks 10–12)</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1 — Methodology, Design &amp; Analysis (Angshuman)</w:t>
            </w:r>
          </w:p>
        </w:tc>
        <w:tc>
          <w:tcPr>
            <w:tcW w:type="dxa" w:w="4860"/>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 2 — Implementation &amp; Experimental Execution</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Select and scope the final extension (structural fusion or multi-signal convergence) based on remaining time.</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Implement the selected extension to Track 1 specification.</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Author the methods, results, and discussion sections of the manuscript, including the repeated novelty-verification search (Section 7).</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If the extension involves structure prediction, report filtering statistics: the number of sequences removed at the confidence threshold, and whether removal disproportionately affects the highest-novelty candidates.</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Perform final result interpretation and incorporate advisor feedback.</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Finalize figures and tables to manuscript standard.</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Finalize the retrospective-validation narrative and limitations statement, including the structure-filtering findings reported by Track 2.</w:t>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Conduct final reproducibility and consistency checks across the full pipeline.</w:t>
            </w:r>
          </w:p>
        </w:tc>
      </w:tr>
      <w:tr>
        <w:trPr>
          <w:cantSplit w:val="false"/>
        </w:trPr>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If time permits, draft a qualitative case study of the 2–3 highest-scoring novel candidates, noting any independent biological evidence supporting their significance.</w:t>
            </w:r>
          </w:p>
        </w:tc>
        <w:tc>
          <w:tcPr>
            <w:tcW w:type="dxa" w:w="4860"/>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Package the retrospective benchmark (snapshot pair, evaluation pipeline, and documentation) as a standalone, reusable artifact independent of the novelty scorer.</w:t>
            </w:r>
          </w:p>
        </w:tc>
      </w:tr>
      <w:tr>
        <w:trPr>
          <w:cantSplit w:val="false"/>
        </w:trPr>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
            </w:r>
          </w:p>
        </w:tc>
        <w:tc>
          <w:tcPr>
            <w:tcW w:type="dxa" w:w="4860"/>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Support formatting, referencing, and citation management.</w:t>
            </w:r>
          </w:p>
        </w:tc>
      </w:tr>
    </w:tbl>
    <w:p>
      <w:pPr>
        <w:spacing w:after="180"/>
      </w:pP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The qualitative case study, the early lightweight Layer 4 signal, and the standalone benchmark release are treated as time-permitting enhancements rather than required deliverables; none of the required Phase 1–4 objectives depend on their completion.</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§9  </w:t>
      </w:r>
      <w:r>
        <w:rPr>
          <w:rFonts w:ascii="Calibri" w:cs="Calibri" w:eastAsia="Calibri" w:hAnsi="Calibri"/>
          <w:b/>
          <w:bCs/>
          <w:color w:val="16233F"/>
          <w:sz w:val="30"/>
          <w:szCs w:val="30"/>
        </w:rPr>
        <w:t xml:space="preserve">COMPUTATIONAL RESOURCE ALLOCATION</w:t>
      </w:r>
    </w:p>
    <w:p>
      <w:pPr>
        <w:spacing w:after="200"/>
      </w:pPr>
      <w:r>
        <w:rPr>
          <w:rFonts w:ascii="Calibri" w:cs="Calibri" w:eastAsia="Calibri" w:hAnsi="Calibri"/>
          <w:i/>
          <w:iCs/>
          <w:color w:val="5B6472"/>
          <w:sz w:val="20"/>
          <w:szCs w:val="20"/>
        </w:rPr>
        <w:t xml:space="preserve">Matching each methodological component to available hardware</w:t>
      </w:r>
    </w:p>
    <w:tbl>
      <w:tblPr>
        <w:tblW w:type="dxa" w:w="9720"/>
        <w:tblBorders>
          <w:top w:val="single" w:color="EEF4FC" w:sz="4"/>
          <w:left w:val="single" w:color="1D4ED8" w:sz="24"/>
          <w:bottom w:val="single" w:color="EEF4FC" w:sz="4"/>
          <w:right w:val="single" w:color="EEF4FC" w:sz="4"/>
          <w:insideH w:val="none" w:color="FFFFFF" w:sz="0"/>
          <w:insideV w:val="none" w:color="FFFFFF" w:sz="0"/>
        </w:tblBorders>
      </w:tblPr>
      <w:tblGrid>
        <w:gridCol w:w="100"/>
      </w:tblGrid>
      <w:tr>
        <w:trPr>
          <w:cantSplit/>
        </w:trPr>
        <w:tc>
          <w:tcPr>
            <w:tcW w:type="dxa" w:w="9720"/>
            <w:shd w:fill="EEF4FC" w:val="clear"/>
            <w:tcMar>
              <w:top w:type="dxa" w:w="140"/>
              <w:left w:type="dxa" w:w="220"/>
              <w:bottom w:type="dxa" w:w="140"/>
              <w:right w:type="dxa" w:w="220"/>
            </w:tcMar>
          </w:tcPr>
          <w:p>
            <w:pPr>
              <w:spacing w:after="70"/>
            </w:pPr>
            <w:r>
              <w:rPr>
                <w:rFonts w:ascii="Calibri" w:cs="Calibri" w:eastAsia="Calibri" w:hAnsi="Calibri"/>
                <w:b/>
                <w:bCs/>
                <w:caps/>
                <w:color w:val="1D4ED8"/>
                <w:sz w:val="19"/>
                <w:szCs w:val="19"/>
              </w:rPr>
              <w:t xml:space="preserve">NOTE</w:t>
            </w:r>
          </w:p>
          <w:p>
            <w:pPr>
              <w:spacing w:after="0"/>
            </w:pPr>
            <w:r>
              <w:rPr>
                <w:rFonts w:ascii="Calibri" w:cs="Calibri" w:eastAsia="Calibri" w:hAnsi="Calibri"/>
                <w:color w:val="1F2937"/>
                <w:sz w:val="21"/>
                <w:szCs w:val="21"/>
              </w:rPr>
              <w:t xml:space="preserve">Layers 1, 3, and 5 are compatible with the available hardware configuration without modification. The principal computational constraint arises specifically from full three-dimensional structure prediction within Layer 2.</w:t>
            </w:r>
          </w:p>
        </w:tc>
      </w:tr>
    </w:tbl>
    <w:p>
      <w:pPr>
        <w:spacing w:after="160"/>
      </w:pP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gridCol w:w="100"/>
        <w:gridCol w:w="100"/>
      </w:tblGrid>
      <w:tr>
        <w:trPr>
          <w:tblHeader/>
        </w:trPr>
        <w:tc>
          <w:tcPr>
            <w:tcW w:type="dxa" w:w="2722"/>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Task</w:t>
            </w:r>
          </w:p>
        </w:tc>
        <w:tc>
          <w:tcPr>
            <w:tcW w:type="dxa" w:w="1847"/>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Apple M1 Pro (MPS)</w:t>
            </w:r>
          </w:p>
        </w:tc>
        <w:tc>
          <w:tcPr>
            <w:tcW w:type="dxa" w:w="1847"/>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RTX 4060, 8GB VRAM</w:t>
            </w:r>
          </w:p>
        </w:tc>
        <w:tc>
          <w:tcPr>
            <w:tcW w:type="dxa" w:w="3305"/>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Genos-m / ESM embedding inference</w:t>
            </w:r>
          </w:p>
        </w:tc>
        <w:tc>
          <w:tcPr>
            <w:tcW w:type="dxa" w:w="184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184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3305"/>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Forward inference only; no training required.</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Novelty scoring (Layers 1, 3, 4)</w:t>
            </w:r>
          </w:p>
        </w:tc>
        <w:tc>
          <w:tcPr>
            <w:tcW w:type="dxa" w:w="184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184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3305"/>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Classical statistical methods (kNN, EVT, isolation forest) are computationally inexpensive.</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ProstT5 structural approximation</w:t>
            </w:r>
          </w:p>
        </w:tc>
        <w:tc>
          <w:tcPr>
            <w:tcW w:type="dxa" w:w="184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184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Compatible</w:t>
            </w:r>
          </w:p>
        </w:tc>
        <w:tc>
          <w:tcPr>
            <w:tcW w:type="dxa" w:w="3305"/>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Recommended substitute for full structure prediction.</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Full ESMFold structure prediction</w:t>
            </w:r>
          </w:p>
        </w:tc>
        <w:tc>
          <w:tcPr>
            <w:tcW w:type="dxa" w:w="184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Limited</w:t>
            </w:r>
          </w:p>
        </w:tc>
        <w:tc>
          <w:tcPr>
            <w:tcW w:type="dxa" w:w="184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Constrained but workable</w:t>
            </w:r>
          </w:p>
        </w:tc>
        <w:tc>
          <w:tcPr>
            <w:tcW w:type="dxa" w:w="3305"/>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Restrict to a small, high-priority subset; sequence chunking required.</w:t>
            </w:r>
          </w:p>
        </w:tc>
      </w:tr>
    </w:tbl>
    <w:p>
      <w:pPr>
        <w:spacing w:after="18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If full-scale structure prediction is required</w:t>
            </w:r>
          </w:p>
          <w:p>
            <w:pPr>
              <w:spacing w:after="0"/>
            </w:pPr>
            <w:r>
              <w:rPr>
                <w:rFonts w:ascii="Calibri" w:cs="Calibri" w:eastAsia="Calibri" w:hAnsi="Calibri"/>
                <w:color w:val="1F2937"/>
                <w:sz w:val="21"/>
                <w:szCs w:val="21"/>
              </w:rPr>
              <w:t xml:space="preserve">Renting cloud GPU capacity for a bounded duration, or requesting university cluster allocation through Dr. Maheshwari, are both preferable to hardware acquisition and should be raised early in Phase 1 rather than after the dataset has been fully scoped.</w:t>
            </w:r>
          </w:p>
        </w:tc>
      </w:tr>
    </w:tbl>
    <w:p>
      <w:pPr>
        <w:pBdr>
          <w:bottom w:val="single" w:color="16233F" w:sz="10" w:space="6"/>
        </w:pBdr>
        <w:spacing w:after="60" w:before="420"/>
      </w:pPr>
      <w:r>
        <w:rPr>
          <w:rFonts w:ascii="Calibri" w:cs="Calibri" w:eastAsia="Calibri" w:hAnsi="Calibri"/>
          <w:b/>
          <w:bCs/>
          <w:color w:val="1D4ED8"/>
          <w:sz w:val="30"/>
          <w:szCs w:val="30"/>
        </w:rPr>
        <w:t xml:space="preserve">§10  </w:t>
      </w:r>
      <w:r>
        <w:rPr>
          <w:rFonts w:ascii="Calibri" w:cs="Calibri" w:eastAsia="Calibri" w:hAnsi="Calibri"/>
          <w:b/>
          <w:bCs/>
          <w:color w:val="16233F"/>
          <w:sz w:val="30"/>
          <w:szCs w:val="30"/>
        </w:rPr>
        <w:t xml:space="preserve">LIMITATIONS AND RISK ASSESSMENT</w:t>
      </w:r>
    </w:p>
    <w:p>
      <w:pPr>
        <w:spacing w:after="200"/>
      </w:pPr>
      <w:r>
        <w:rPr>
          <w:rFonts w:ascii="Calibri" w:cs="Calibri" w:eastAsia="Calibri" w:hAnsi="Calibri"/>
          <w:i/>
          <w:iCs/>
          <w:color w:val="5B6472"/>
          <w:sz w:val="20"/>
          <w:szCs w:val="20"/>
        </w:rPr>
        <w:t xml:space="preserve">Constraints that should be stated explicitly in any resulting manuscript</w:t>
      </w: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Selection bias in retrospective validation</w:t>
            </w:r>
          </w:p>
          <w:p>
            <w:pPr>
              <w:spacing w:after="0"/>
            </w:pPr>
            <w:r>
              <w:rPr>
                <w:rFonts w:ascii="Calibri" w:cs="Calibri" w:eastAsia="Calibri" w:hAnsi="Calibri"/>
                <w:color w:val="1F2937"/>
                <w:sz w:val="21"/>
                <w:szCs w:val="21"/>
              </w:rPr>
              <w:t xml:space="preserve">Sequences characterized subsequent to the historical snapshot are not a random subset of all dark matter — they are enriched for sequences that were already sufficiently close to something known to become tractable. The most genuinely novel sequences may never enter the positive evaluation set. This should be stated explicitly rather than treated as a resolved limitation.</w:t>
            </w:r>
          </w:p>
        </w:tc>
      </w:tr>
    </w:tbl>
    <w:p>
      <w:pPr>
        <w:spacing w:after="14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Structure-prediction reliability</w:t>
            </w:r>
          </w:p>
          <w:p>
            <w:pPr>
              <w:spacing w:after="0"/>
            </w:pPr>
            <w:r>
              <w:rPr>
                <w:rFonts w:ascii="Calibri" w:cs="Calibri" w:eastAsia="Calibri" w:hAnsi="Calibri"/>
                <w:color w:val="1F2937"/>
                <w:sz w:val="21"/>
                <w:szCs w:val="21"/>
              </w:rPr>
              <w:t xml:space="preserve">Structure-prediction confidence (e.g., pLDDT) is systematically lower for sequences without close homologs — precisely the population under study. Confidence-based filtering is applied, and the manuscript reports both the number of sequences removed at the chosen threshold and whether removal disproportionately affects the highest-novelty candidates (Section 8, Phase 4); a filtering procedure that silently discards the most interesting cases would undermine the method's central claim.</w:t>
            </w:r>
          </w:p>
        </w:tc>
      </w:tr>
    </w:tbl>
    <w:p>
      <w:pPr>
        <w:spacing w:after="14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Novelty is not equivalent to function</w:t>
            </w:r>
          </w:p>
          <w:p>
            <w:pPr>
              <w:spacing w:after="0"/>
            </w:pPr>
            <w:r>
              <w:rPr>
                <w:rFonts w:ascii="Calibri" w:cs="Calibri" w:eastAsia="Calibri" w:hAnsi="Calibri"/>
                <w:color w:val="1F2937"/>
                <w:sz w:val="21"/>
                <w:szCs w:val="21"/>
              </w:rPr>
              <w:t xml:space="preserve">Every method in this document identifies and prioritizes unusual sequences; none establishes biochemical function without experimental validation. The contribution should be framed as prioritization for further investigation, not functional determination.</w:t>
            </w:r>
          </w:p>
        </w:tc>
      </w:tr>
    </w:tbl>
    <w:p>
      <w:pPr>
        <w:spacing w:after="140"/>
      </w:pPr>
    </w:p>
    <w:tbl>
      <w:tblPr>
        <w:tblW w:type="dxa" w:w="9720"/>
        <w:tblBorders>
          <w:top w:val="single" w:color="FDF1EC" w:sz="4"/>
          <w:left w:val="single" w:color="C2410C" w:sz="24"/>
          <w:bottom w:val="single" w:color="FDF1EC" w:sz="4"/>
          <w:right w:val="single" w:color="FDF1EC" w:sz="4"/>
          <w:insideH w:val="none" w:color="FFFFFF" w:sz="0"/>
          <w:insideV w:val="none" w:color="FFFFFF" w:sz="0"/>
        </w:tblBorders>
      </w:tblPr>
      <w:tblGrid>
        <w:gridCol w:w="100"/>
      </w:tblGrid>
      <w:tr>
        <w:trPr>
          <w:cantSplit/>
        </w:trPr>
        <w:tc>
          <w:tcPr>
            <w:tcW w:type="dxa" w:w="9720"/>
            <w:shd w:fill="FDF1EC" w:val="clear"/>
            <w:tcMar>
              <w:top w:type="dxa" w:w="140"/>
              <w:left w:type="dxa" w:w="220"/>
              <w:bottom w:type="dxa" w:w="140"/>
              <w:right w:type="dxa" w:w="220"/>
            </w:tcMar>
          </w:tcPr>
          <w:p>
            <w:pPr>
              <w:spacing w:after="70"/>
            </w:pPr>
            <w:r>
              <w:rPr>
                <w:rFonts w:ascii="Calibri" w:cs="Calibri" w:eastAsia="Calibri" w:hAnsi="Calibri"/>
                <w:b/>
                <w:bCs/>
                <w:caps/>
                <w:color w:val="C2410C"/>
                <w:sz w:val="19"/>
                <w:szCs w:val="19"/>
              </w:rPr>
              <w:t xml:space="preserve">LIMITATION — Unverified specifications of Genos-m</w:t>
            </w:r>
          </w:p>
          <w:p>
            <w:pPr>
              <w:spacing w:after="0"/>
            </w:pPr>
            <w:r>
              <w:rPr>
                <w:rFonts w:ascii="Calibri" w:cs="Calibri" w:eastAsia="Calibri" w:hAnsi="Calibri"/>
                <w:color w:val="1F2937"/>
                <w:sz w:val="21"/>
                <w:szCs w:val="21"/>
              </w:rPr>
              <w:t xml:space="preserve">Given its recent, not-yet-peer-reviewed status, any performance claims associated with Genos-m should be treated as preliminary and benchmarked independently rather than cited directly from the developers.</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§11  </w:t>
      </w:r>
      <w:r>
        <w:rPr>
          <w:rFonts w:ascii="Calibri" w:cs="Calibri" w:eastAsia="Calibri" w:hAnsi="Calibri"/>
          <w:b/>
          <w:bCs/>
          <w:color w:val="16233F"/>
          <w:sz w:val="30"/>
          <w:szCs w:val="30"/>
        </w:rPr>
        <w:t xml:space="preserve">GLOSSARY OF TERMS</w:t>
      </w:r>
    </w:p>
    <w:p>
      <w:pPr>
        <w:spacing w:after="200"/>
      </w:pPr>
      <w:r>
        <w:rPr>
          <w:rFonts w:ascii="Calibri" w:cs="Calibri" w:eastAsia="Calibri" w:hAnsi="Calibri"/>
          <w:i/>
          <w:iCs/>
          <w:color w:val="5B6472"/>
          <w:sz w:val="20"/>
          <w:szCs w:val="20"/>
        </w:rPr>
        <w:t xml:space="preserve">Reference definitions for all recurring technical terminology</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2722"/>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6998"/>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Dark matter (genomic)</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sequence with no detectable similarity to any characterized reference; functional annotation is unavailable.</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Embedding</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fixed-length numerical vector representation of a sequence, constructed so that biologically related sequences occupy proximate regions of vector space.</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Foundation model</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large-scale model pretrained on a broad data corpus prior to task-specific application.</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Genos-m</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foundation model (2026 preprint) purpose-built for human-associated microbial genomes.</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Structure prediction (ESMFold)</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Computational inference of a protein's three-dimensional conformation directly from its sequence.</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ProstT5</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computationally lighter method approximating structural signal without full three-dimensional folding.</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Foldseek</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structural search tool comparing predicted protein structures rather than sequences.</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Novelty / anomaly detection</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Characterizing the distribution of known data and flagging inputs that fall outside it.</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Open-set recognition</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method's capacity to output “not recognized” rather than forcing every input into a known category.</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Retrospective (temporal) validation</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Evaluating predictions made using an earlier reference snapshot against a later, more complete snapshot.</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Self/non-self discrimination</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Modeling characterized data as “self” and treating deviations as candidates for further investigation.</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Structural conservation</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The empirical observation that protein structure is conserved across evolutionary time to a greater degree than sequence.</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MAG (metagenome-assembled genome)</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genome computationally reconstructed from an environmental sample without laboratory culturing.</w:t>
            </w:r>
          </w:p>
        </w:tc>
      </w:tr>
      <w:tr>
        <w:trPr>
          <w:cantSplit w:val="false"/>
        </w:trPr>
        <w:tc>
          <w:tcPr>
            <w:tcW w:type="dxa" w:w="2722"/>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GTDB</w:t>
            </w:r>
          </w:p>
        </w:tc>
        <w:tc>
          <w:tcPr>
            <w:tcW w:type="dxa" w:w="6998"/>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regularly updated reference database of microbial genomes, used as the historical/current snapshot pair in retrospective validation.</w:t>
            </w:r>
          </w:p>
        </w:tc>
      </w:tr>
      <w:tr>
        <w:trPr>
          <w:cantSplit w:val="false"/>
        </w:trPr>
        <w:tc>
          <w:tcPr>
            <w:tcW w:type="dxa" w:w="2722"/>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CAFA</w:t>
            </w:r>
          </w:p>
        </w:tc>
        <w:tc>
          <w:tcPr>
            <w:tcW w:type="dxa" w:w="6998"/>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 recurring international function-prediction challenge, scored only after experimental annotation accumulates.</w:t>
            </w:r>
          </w:p>
        </w:tc>
      </w:tr>
    </w:tbl>
    <w:p>
      <w:r>
        <w:br w:type="page"/>
      </w:r>
    </w:p>
    <w:p>
      <w:pPr>
        <w:pBdr>
          <w:bottom w:val="single" w:color="16233F" w:sz="10" w:space="6"/>
        </w:pBdr>
        <w:spacing w:after="60" w:before="420"/>
      </w:pPr>
      <w:r>
        <w:rPr>
          <w:rFonts w:ascii="Calibri" w:cs="Calibri" w:eastAsia="Calibri" w:hAnsi="Calibri"/>
          <w:b/>
          <w:bCs/>
          <w:color w:val="1D4ED8"/>
          <w:sz w:val="30"/>
          <w:szCs w:val="30"/>
        </w:rPr>
        <w:t xml:space="preserve">§12  </w:t>
      </w:r>
      <w:r>
        <w:rPr>
          <w:rFonts w:ascii="Calibri" w:cs="Calibri" w:eastAsia="Calibri" w:hAnsi="Calibri"/>
          <w:b/>
          <w:bCs/>
          <w:color w:val="16233F"/>
          <w:sz w:val="30"/>
          <w:szCs w:val="30"/>
        </w:rPr>
        <w:t xml:space="preserve">REFERENCES</w:t>
      </w:r>
    </w:p>
    <w:p>
      <w:pPr>
        <w:spacing w:after="200"/>
      </w:pPr>
      <w:r>
        <w:rPr>
          <w:rFonts w:ascii="Calibri" w:cs="Calibri" w:eastAsia="Calibri" w:hAnsi="Calibri"/>
          <w:i/>
          <w:iCs/>
          <w:color w:val="5B6472"/>
          <w:sz w:val="20"/>
          <w:szCs w:val="20"/>
        </w:rPr>
        <w:t xml:space="preserve">Primary sources underlying the methodology and literature review</w:t>
      </w:r>
    </w:p>
    <w:tbl>
      <w:tblPr>
        <w:tblW w:type="dxa" w:w="9720"/>
        <w:tblBorders>
          <w:top w:val="single" w:color="C7CFDA" w:sz="4"/>
          <w:left w:val="single" w:color="C7CFDA" w:sz="4"/>
          <w:bottom w:val="single" w:color="C7CFDA" w:sz="4"/>
          <w:right w:val="single" w:color="C7CFDA" w:sz="4"/>
          <w:insideH w:val="single" w:color="C7CFDA" w:sz="4"/>
          <w:insideV w:val="single" w:color="C7CFDA" w:sz="4"/>
        </w:tblBorders>
      </w:tblPr>
      <w:tblGrid>
        <w:gridCol w:w="100"/>
        <w:gridCol w:w="100"/>
      </w:tblGrid>
      <w:tr>
        <w:trPr>
          <w:tblHeader/>
        </w:trPr>
        <w:tc>
          <w:tcPr>
            <w:tcW w:type="dxa" w:w="2527"/>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Topic</w:t>
            </w:r>
          </w:p>
        </w:tc>
        <w:tc>
          <w:tcPr>
            <w:tcW w:type="dxa" w:w="7193"/>
            <w:shd w:fill="16233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Scale of the problem</w:t>
            </w:r>
          </w:p>
        </w:tc>
        <w:tc>
          <w:tcPr>
            <w:tcW w:type="dxa" w:w="719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Pavlopoulos et al., “Unraveling the functional dark matter through global metagenomics,” Nature 622, 2023.</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Viral dark matter</w:t>
            </w:r>
          </w:p>
        </w:tc>
        <w:tc>
          <w:tcPr>
            <w:tcW w:type="dxa" w:w="719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“Viral Dark Matter: Illuminating Protein Function, Ecology, and Biotechnological Promises,” 2025 (PMC12447712).</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Structure-based search</w:t>
            </w:r>
          </w:p>
        </w:tc>
        <w:tc>
          <w:tcPr>
            <w:tcW w:type="dxa" w:w="719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van Kempen et al., “Fast and accurate protein structure search with Foldseek,” Nature Biotechnology 42, 2024.</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Genomic-context inference at scale</w:t>
            </w:r>
          </w:p>
        </w:tc>
        <w:tc>
          <w:tcPr>
            <w:tcW w:type="dxa" w:w="719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Zhang et al. (FUGAsseM), Nature Biotechnology, 2025.</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Open-set recognition</w:t>
            </w:r>
          </w:p>
        </w:tc>
        <w:tc>
          <w:tcPr>
            <w:tcW w:type="dxa" w:w="719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Bendale &amp; Boult, “Towards Open Set Deep Networks” (OpenMax), CVPR 2016.</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Immune-inspired computation</w:t>
            </w:r>
          </w:p>
        </w:tc>
        <w:tc>
          <w:tcPr>
            <w:tcW w:type="dxa" w:w="719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Forrest, Perelson, Allen &amp; Cherukuri, “Self-Nonself Discrimination in a Computer,” IEEE Symposium on Security and Privacy, 1994.</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Structural conservation</w:t>
            </w:r>
          </w:p>
        </w:tc>
        <w:tc>
          <w:tcPr>
            <w:tcW w:type="dxa" w:w="719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Chothia &amp; Lesk; Chothia, “One thousand families for the molecular biologist,” Nature 357, 1992.</w:t>
            </w:r>
          </w:p>
        </w:tc>
      </w:tr>
      <w:tr>
        <w:trPr>
          <w:cantSplit w:val="false"/>
        </w:trPr>
        <w:tc>
          <w:tcPr>
            <w:tcW w:type="dxa" w:w="2527"/>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Anomaly detection on protein sequences</w:t>
            </w:r>
          </w:p>
        </w:tc>
        <w:tc>
          <w:tcPr>
            <w:tcW w:type="dxa" w:w="7193"/>
            <w:shd w:fill="F3F5F9"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“Detecting Anomalous Proteins Using Deep Representations,” NAR Genomics and Bioinformatics 6(1), 2024.</w:t>
            </w:r>
          </w:p>
        </w:tc>
      </w:tr>
      <w:tr>
        <w:trPr>
          <w:cantSplit w:val="false"/>
        </w:trPr>
        <w:tc>
          <w:tcPr>
            <w:tcW w:type="dxa" w:w="2527"/>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Genos-m</w:t>
            </w:r>
          </w:p>
        </w:tc>
        <w:tc>
          <w:tcPr>
            <w:tcW w:type="dxa" w:w="7193"/>
            <w:shd w:fill="FFFFFF" w:val="clear"/>
            <w:tcMar>
              <w:top w:type="dxa" w:w="90"/>
              <w:left w:type="dxa" w:w="120"/>
              <w:bottom w:type="dxa" w:w="90"/>
              <w:right w:type="dxa" w:w="120"/>
            </w:tcMar>
          </w:tcPr>
          <w:p>
            <w:pPr>
              <w:spacing w:after="40"/>
            </w:pPr>
            <w:r>
              <w:rPr>
                <w:rFonts w:ascii="Calibri" w:cs="Calibri" w:eastAsia="Calibri" w:hAnsi="Calibri"/>
                <w:color w:val="1F2937"/>
                <w:sz w:val="18"/>
                <w:szCs w:val="18"/>
              </w:rPr>
              <w:t xml:space="preserve">BGI-Research &amp; Zhejiang Lab, Genos-m preprint, bioRxiv, May 2026 (preprint; not yet peer-reviewed).</w:t>
            </w:r>
          </w:p>
        </w:tc>
      </w:tr>
    </w:tbl>
    <w:p>
      <w:pPr>
        <w:spacing w:after="200"/>
      </w:pPr>
    </w:p>
    <w:p>
      <w:pPr>
        <w:spacing w:after="160"/>
      </w:pPr>
      <w:r>
        <w:rPr>
          <w:rFonts w:ascii="Calibri" w:cs="Calibri" w:eastAsia="Calibri" w:hAnsi="Calibri"/>
          <w:i/>
          <w:iCs/>
          <w:color w:val="1F2937"/>
          <w:sz w:val="21"/>
          <w:szCs w:val="21"/>
        </w:rPr>
        <w:t xml:space="preserve">This document synthesizes an extended literature review across peer-reviewed publications, preprints, and technical documentation. Specific figures pertaining to Genos-m's exact parameter count could not be independently confirmed at time of writing and should be re-verified directly against the source preprint prior to citation.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2026-08-05T15:19:12.340Z</dcterms:created>
  <dcterms:modified xsi:type="dcterms:W3CDTF">2026-08-05T15:19:12.354Z</dcterms:modified>
</cp:coreProperties>
</file>

<file path=docProps/custom.xml><?xml version="1.0" encoding="utf-8"?>
<Properties xmlns="http://schemas.openxmlformats.org/officeDocument/2006/custom-properties" xmlns:vt="http://schemas.openxmlformats.org/officeDocument/2006/docPropsVTypes"/>
</file>