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e2703a"/>
          <w:sz w:val="52"/>
          <w:szCs w:val="52"/>
        </w:rPr>
        <w:t xml:space="preserve">사주해(sajuhae)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44"/>
          <w:szCs w:val="44"/>
        </w:rPr>
        <w:t xml:space="preserve">연 매출 100억 달성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44"/>
          <w:szCs w:val="44"/>
        </w:rPr>
        <w:t xml:space="preserve">마케팅 계획</w:t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color w:val="e2703a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2026년 4월</w:t>
      </w:r>
    </w:p>
    <w:p>
      <w:pPr>
        <w:spacing w:after="200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28"/>
          <w:szCs w:val="28"/>
        </w:rPr>
        <w:t xml:space="preserve">주식회사 에이아이트리</w:t>
      </w: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e2703a"/>
          <w:sz w:val="18"/>
          <w:szCs w:val="18"/>
        </w:rPr>
        <w:t xml:space="preserve">CONFIDENTIAL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1. 시장 현황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한국 점술/운세 시장의 현재 규모와 주요 플레이어 분석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한국 점술 시장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1.4조원 (실제 추정 4조원)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공식 통계 대비 실제 3배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점신(테크랩스) 연매출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830억원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영업이익 100억, YoY +58%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점신 기업가치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2,045억원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2024년 기준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점신 MAU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95만명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업계 1위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포스텔러 누적가입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900만명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MAU 57만명</w:t>
            </w:r>
          </w:p>
        </w:tc>
      </w:tr>
      <w:tr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운세 플랫폼 거래액 성장률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+22.9%</w:t>
            </w:r>
          </w:p>
        </w:tc>
        <w:tc>
          <w:tcPr>
            <w:tcW w:type="pct" w:w="3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2024년 기준</w:t>
            </w:r>
          </w:p>
        </w:tc>
      </w:tr>
    </w:tbl>
    <w:p>
      <w:pPr>
        <w:spacing w:before="200"/>
      </w:pPr>
    </w:p>
    <w:p>
      <w:pPr>
        <w:shd w:color="fff3e0" w:val="solid"/>
        <w:spacing w:after="100" w:before="100"/>
        <w:ind w:left="200" w:right="200"/>
      </w:pPr>
      <w:r>
        <w:rPr>
          <w:rFonts w:ascii="Malgun Gothic" w:cs="Malgun Gothic" w:eastAsia="Malgun Gothic" w:hAnsi="Malgun Gothic"/>
          <w:b/>
          <w:bCs/>
          <w:color w:val="e2703a"/>
          <w:sz w:val="22"/>
          <w:szCs w:val="22"/>
        </w:rPr>
        <w:t xml:space="preserve">💡 결론: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점신이 830억을 벌고 있으므로, 100억은 전체 시장의 1.2%만 가져오면 달성 가능한 목표입니다.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2. 100억 역산 — 필요 지표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연 매출 100억 달성을 위한 3가지 시나리오별 필요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필요 구독자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필요 MAU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A. 구독 중심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₩7,000/월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119,000명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400만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순수 구독 모델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B. 구독+리포트 믹스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₩10,000/월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83,000명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280만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혼합 수익 모델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C. 다각화(B2B+글로벌)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150만 + B2B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다각화 전략</w:t>
            </w:r>
          </w:p>
        </w:tc>
      </w:tr>
    </w:tbl>
    <w:p>
      <w:pPr>
        <w:spacing w:before="200"/>
      </w:pPr>
    </w:p>
    <w:p>
      <w:pPr>
        <w:shd w:color="e8f5e9" w:val="solid"/>
        <w:spacing w:after="100" w:before="100"/>
        <w:ind w:left="200" w:right="20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✅ 현실적 목표: 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시나리오 C — MAU 150만 기반 다각화 전략이 가장 실현 가능성 높음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3. 5개 수익 엔진 (Revenue Pillars)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연 매출 100억을 구성하는 5개 수익 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수익 엔진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 매출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지표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구독 매출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40억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MAU 150만, 전환율 4%, 구독자 60,000, ARPU ₩5,500/월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프리미엄 리포트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20억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기본 5,000건/월, 프로 2,000건/월, 궁합 3,000건/월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B2B/API 라이센싱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20억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보험사, 은행, 통신사, 포털, 화이트라벨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글로벌 확장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15억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일본, 동남아, 미국/유럽, 중화권 (K-Fortune)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광고+콘텐츠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5억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pct" w:w="5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인앱 광고, 네이티브 광고, IP 라이센싱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e2703a"/>
          <w:sz w:val="24"/>
          <w:szCs w:val="24"/>
        </w:rPr>
        <w:t xml:space="preserve">수익 구조 요약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• 구독 매출 (40억, 40%) — 안정적 반복 매출의 핵심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• 프리미엄 리포트 (20억, 20%) — 고객 단가 상승 드라이버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• B2B/API (20억, 20%) — 기업 고객을 통한 대규모 계약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• 글로벌 (15억, 15%) — K-Fortune 브랜드로 해외 진출</w:t>
      </w:r>
    </w:p>
    <w:p>
      <w:pPr>
        <w:spacing w:after="40" w:before="40"/>
        <w:ind w:left="400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1"/>
          <w:szCs w:val="21"/>
        </w:rPr>
        <w:t xml:space="preserve">• 광고+콘텐츠 (5억, 5%) — 보조 수익원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4. 12개월 로드맵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분기별 성장 마일스톤과 매출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분기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유료 구독자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마일스톤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분기 매출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Q1 (1~3월)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30만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5,000명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신년운세 시즌 공략, 바이럴 캠페인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₩5억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Q2 (4~6월)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60만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15,000명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B2B 1건 계약, 영어 베타 출시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₩12억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Q3 (7~9월)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100만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35,000명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일본 정식 출시, B2B 3건 계약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₩25억</w:t>
            </w:r>
          </w:p>
        </w:tc>
      </w:tr>
      <w:tr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Q4 (10~12월)</w:t>
            </w:r>
          </w:p>
        </w:tc>
        <w:tc>
          <w:tcPr>
            <w:tcW w:type="pct" w:w="1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150만</w:t>
            </w:r>
          </w:p>
        </w:tc>
        <w:tc>
          <w:tcPr>
            <w:tcW w:type="pct" w:w="1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60,000명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글로벌 MAU 20만, 연말 시즌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₩58억</w:t>
            </w:r>
          </w:p>
        </w:tc>
      </w:tr>
    </w:tbl>
    <w:p>
      <w:pPr>
        <w:spacing w:before="200"/>
      </w:pPr>
    </w:p>
    <w:p>
      <w:pPr>
        <w:shd w:color="e3f2fd" w:val="solid"/>
        <w:spacing w:after="100" w:before="100"/>
        <w:ind w:left="200" w:right="200"/>
      </w:pPr>
      <w:r>
        <w:rPr>
          <w:rFonts w:ascii="Malgun Gothic" w:cs="Malgun Gothic" w:eastAsia="Malgun Gothic" w:hAnsi="Malgun Gothic"/>
          <w:b/>
          <w:bCs/>
          <w:color w:val="1565c0"/>
          <w:sz w:val="22"/>
          <w:szCs w:val="22"/>
        </w:rPr>
        <w:t xml:space="preserve">📊 누적 연 매출: </w:t>
      </w:r>
      <w:r>
        <w:rPr>
          <w:rFonts w:ascii="Malgun Gothic" w:cs="Malgun Gothic" w:eastAsia="Malgun Gothic" w:hAnsi="Malgun Gothic"/>
          <w:b/>
          <w:bCs/>
          <w:color w:val="333333"/>
          <w:sz w:val="22"/>
          <w:szCs w:val="22"/>
        </w:rPr>
        <w:t xml:space="preserve">5억 + 12억 + 25억 + 58억 = 100억 달성</w:t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5. Q1 세부 실행 계획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첫 3개월간의 세부 실행 전략과 예산 배분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액션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광고 예산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월 1: 기반 구축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MAU 0→10만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ASO 최적화, SNS 시딩, 인플루언서 5명 협업, 신년운세 랜딩페이지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₩300만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월 2: 성장 가속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MAU 10→20만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Meta 광고 본격화, 네이버 검색광고, 친구초대 바이럴, PR 기사 3건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₩800만</w:t>
            </w:r>
          </w:p>
        </w:tc>
      </w:tr>
      <w:tr>
        <w:tc>
          <w:tcPr>
            <w:tcW w:type="pct" w:w="18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월 3: 수익화 강화</w:t>
            </w:r>
          </w:p>
        </w:tc>
        <w:tc>
          <w:tcPr>
            <w:tcW w:type="pct" w:w="1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MAU 20→30만</w:t>
            </w:r>
          </w:p>
        </w:tc>
        <w:tc>
          <w:tcPr>
            <w:tcW w:type="pct" w:w="4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구독 프로모션, 리포트 출시, 유튜브/틱톡 광고, 제휴 마케팅 시작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₩1,500만</w:t>
            </w:r>
          </w:p>
        </w:tc>
      </w:tr>
    </w:tbl>
    <w:p>
      <w:pPr>
        <w:spacing w:before="200"/>
      </w:pPr>
    </w:p>
    <w:p>
      <w:pPr>
        <w:pStyle w:val="Heading3"/>
        <w:spacing w:after="150" w:before="300"/>
      </w:pPr>
      <w:r>
        <w:rPr>
          <w:rFonts w:ascii="Malgun Gothic" w:cs="Malgun Gothic" w:eastAsia="Malgun Gothic" w:hAnsi="Malgun Gothic"/>
          <w:b/>
          <w:bCs/>
          <w:color w:val="e2703a"/>
          <w:sz w:val="24"/>
          <w:szCs w:val="24"/>
        </w:rPr>
        <w:t xml:space="preserve">Q1 총 마케팅 예산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총 광고비: </w:t>
      </w:r>
      <w:r>
        <w:rPr>
          <w:rFonts w:ascii="Malgun Gothic" w:cs="Malgun Gothic" w:eastAsia="Malgun Gothic" w:hAnsi="Malgun Gothic"/>
          <w:b/>
          <w:bCs/>
          <w:color w:val="e2703a"/>
          <w:sz w:val="24"/>
          <w:szCs w:val="24"/>
        </w:rPr>
        <w:t xml:space="preserve">₩2,600만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 | 목표 CAC: </w:t>
      </w:r>
      <w:r>
        <w:rPr>
          <w:rFonts w:ascii="Malgun Gothic" w:cs="Malgun Gothic" w:eastAsia="Malgun Gothic" w:hAnsi="Malgun Gothic"/>
          <w:b/>
          <w:bCs/>
          <w:color w:val="1a1a2e"/>
          <w:sz w:val="24"/>
          <w:szCs w:val="24"/>
        </w:rPr>
        <w:t xml:space="preserve">₩87/명</w:t>
      </w:r>
      <w:r>
        <w:rPr>
          <w:rFonts w:ascii="Malgun Gothic" w:cs="Malgun Gothic" w:eastAsia="Malgun Gothic" w:hAnsi="Malgun Gothic"/>
          <w:b w:val="false"/>
          <w:bCs w:val="false"/>
          <w:color w:val="333333"/>
          <w:sz w:val="22"/>
          <w:szCs w:val="22"/>
        </w:rPr>
        <w:t xml:space="preserve"> | 목표 MAU: </w:t>
      </w:r>
      <w:r>
        <w:rPr>
          <w:rFonts w:ascii="Malgun Gothic" w:cs="Malgun Gothic" w:eastAsia="Malgun Gothic" w:hAnsi="Malgun Gothic"/>
          <w:b/>
          <w:bCs/>
          <w:color w:val="1a1a2e"/>
          <w:sz w:val="24"/>
          <w:szCs w:val="24"/>
        </w:rPr>
        <w:t xml:space="preserve">30만명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6. 핵심 KPI 대시보드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월별 핵심 성과 지표 추적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1개월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3개월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6개월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12개월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MAU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60만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150만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유료 구독자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1,000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5,000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15,000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60,000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₩550만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₩2,750만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₩8,250만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₩3.3억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ARR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₩6,600만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₩3.3억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₩9.9억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₩39.6억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리포트 매출/월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₩500만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₩3,000만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₩8,000만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₩1.67억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B2B 매출/월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₩3,000만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₩1.67억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글로벌 매출/월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₩2,000만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₩1.25억</w:t>
            </w:r>
          </w:p>
        </w:tc>
      </w:tr>
      <w:tr>
        <w:tc>
          <w:tcPr>
            <w:tcW w:type="pct" w:w="24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총 월 매출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₩1,050만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₩5,750만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₩2.1억</w:t>
            </w:r>
          </w:p>
        </w:tc>
        <w:tc>
          <w:tcPr>
            <w:tcW w:type="pct" w:w="19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₩8.3억</w:t>
            </w:r>
          </w:p>
        </w:tc>
      </w:tr>
    </w:tbl>
    <w:p>
      <w:pPr>
        <w:spacing w:before="400"/>
      </w:pPr>
    </w:p>
    <w:p>
      <w:pPr>
        <w:pStyle w:val="Heading1"/>
        <w:spacing w:after="150" w:before="300"/>
      </w:pPr>
      <w:r>
        <w:rPr>
          <w:rFonts w:ascii="Malgun Gothic" w:cs="Malgun Gothic" w:eastAsia="Malgun Gothic" w:hAnsi="Malgun Gothic"/>
          <w:b/>
          <w:bCs/>
          <w:color w:val="1a1a2e"/>
          <w:sz w:val="32"/>
          <w:szCs w:val="32"/>
        </w:rPr>
        <w:t xml:space="preserve">7. 즉시 실행 항목 (Immediate Action Items)</w:t>
      </w:r>
    </w:p>
    <w:p>
      <w:pPr>
        <w:spacing w:after="80" w:before="80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1"/>
          <w:szCs w:val="21"/>
        </w:rPr>
        <w:t xml:space="preserve">지금 바로 시작해야 할 3가지 핵심 과제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실행 항목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a1a2e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🔴 P0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ASO 최적화 — 앱스토어/플레이스토어 키워드, 스크린샷, 설명 최적화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마케팅팀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오가닉 유입 +50%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🔴 P0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Meta/네이버 광고 시작 — 타겟 설정, 크리에이티브 제작, A/B 테스트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퍼포먼스팀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5f5f5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DAU +30%</w:t>
            </w:r>
          </w:p>
        </w:tc>
      </w:tr>
      <w:tr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🟠 P1</w:t>
            </w:r>
          </w:p>
        </w:tc>
        <w:tc>
          <w:tcPr>
            <w:tcW w:type="pct" w:w="4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"친구 초대" 기능 개발 — 추천 코드, 보상 시스템, 공유 UI</w:t>
            </w:r>
          </w:p>
        </w:tc>
        <w:tc>
          <w:tcPr>
            <w:tcW w:type="pct" w:w="1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개발팀</w:t>
            </w:r>
          </w:p>
        </w:tc>
        <w:tc>
          <w:tcPr>
            <w:tcW w:type="pct" w:w="1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3주</w:t>
            </w:r>
          </w:p>
        </w:tc>
        <w:tc>
          <w:tcPr>
            <w:tcW w:type="pct" w:w="27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333333"/>
                <w:sz w:val="20"/>
                <w:szCs w:val="20"/>
              </w:rPr>
              <w:t xml:space="preserve">바이럴 계수 1.3</w:t>
            </w:r>
          </w:p>
        </w:tc>
      </w:tr>
    </w:tbl>
    <w:p>
      <w:pPr>
        <w:spacing w:before="300"/>
      </w:pPr>
    </w:p>
    <w:p>
      <w:pPr>
        <w:shd w:color="1a1a2e" w:val="solid"/>
        <w:spacing w:after="150" w:before="150"/>
        <w:ind w:left="200" w:right="200"/>
        <w:jc w:val="center"/>
      </w:pPr>
      <w:r>
        <w:rPr>
          <w:rFonts w:ascii="Malgun Gothic" w:cs="Malgun Gothic" w:eastAsia="Malgun Gothic" w:hAnsi="Malgun Gothic"/>
          <w:b/>
          <w:bCs/>
          <w:color w:val="ffffff"/>
          <w:sz w:val="26"/>
          <w:szCs w:val="26"/>
        </w:rPr>
        <w:t xml:space="preserve">사주해는 100억을 달성할 수 있습니다. 지금 시작합시다.</w:t>
      </w:r>
    </w:p>
    <w:p>
      <w:pPr>
        <w:spacing w:before="600"/>
      </w:pPr>
    </w:p>
    <w:p>
      <w:pPr>
        <w:jc w:val="center"/>
      </w:pPr>
      <w:r>
        <w:rPr>
          <w:rFonts w:ascii="Malgun Gothic" w:cs="Malgun Gothic" w:eastAsia="Malgun Gothic" w:hAnsi="Malgun Gothic"/>
          <w:color w:val="cccccc"/>
          <w:sz w:val="16"/>
          <w:szCs w:val="16"/>
        </w:rPr>
        <w:t xml:space="preserve">━━━━━━━━━━━━━━━━━━━━━━━━━━━━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999999"/>
          <w:sz w:val="18"/>
          <w:szCs w:val="18"/>
        </w:rPr>
        <w:t xml:space="preserve">© 2026 주식회사 에이아이트리 | CONFIDENTIAL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2026-04-12T01:27:25.262Z</dcterms:created>
  <dcterms:modified xsi:type="dcterms:W3CDTF">2026-04-12T01:27:25.264Z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