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Design Phase-I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Problem – Solution Fit Template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.4545454545455"/>
        <w:gridCol w:w="6014.545454545455"/>
        <w:tblGridChange w:id="0">
          <w:tblGrid>
            <w:gridCol w:w="3345.4545454545455"/>
            <w:gridCol w:w="6014.545454545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 December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Toycraft Tales Tableau's vision into Toy manufactures 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– Solution Fit Template: Toycraft Tales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Problem-Solution Fit for Toycraft Tales means identifying the specific operational pain points of toy manufacturers and proving that our Tableau-driven data analytics effectively solves them. This helps manufacturers move from "guesswork" to "data-backed decisions.”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Solve Complex Manufacturing Issues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Addressing production delays and inventory imbalances in a way that aligns with the current workflow of toy factory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Faster Market Success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Increasing the adoption of new toy designs by tapping into existing customer buying patterns and seasonal trends discovered through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Sharpened Communication: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data triggers (like low stock alerts or high demand shifts) to refine marketing strategies and retail messaging for specific toy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Enhanced Trust &amp; Touch-points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Building long-term reliability with retailers by solving "urgent or costly" problems like overstocking unpopular toys or missing out on viral toy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Optimized Target Group Strategy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Deeply understanding the current market situation to improve toy safety, pricing, and play-value for children and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Templates: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677578" cy="34194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578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ideahackers.network/problem-solution-fit-canvas/" TargetMode="External"/><Relationship Id="rId8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