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Project Design Phase-I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Solution Architecture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2.7272727272725"/>
        <w:gridCol w:w="6087.272727272728"/>
        <w:tblGridChange w:id="0">
          <w:tblGrid>
            <w:gridCol w:w="3272.7272727272725"/>
            <w:gridCol w:w="6087.272727272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 September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Toycraft Tales Tableau's vision into Toy manufactures 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in ToyCraft Tales is a structured process that connects toy manufacturing business challenges with powerful data-driven solutions using Tableau.It helps transform raw toy industry data into meaningful insights for smarter decision-making.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 Entities: Any third-party data sources (like the Toy Trend Dataset).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Points: How the Application "talks" to the AI (usually via APIs).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Gates: Firewalls or Authentication layers that protect the manufacturer's internal data.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Sinks: Where the final "Tableau" or visualization is stored after the D3 Visualizer finishes its work.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Components to Include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 Entities: Any third-party data sources (like the Toy Trend Dataset).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Points: How the Application "talks" to the AI (usually via APIs).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Gates: Firewalls or Authentication layers that protect the manufacturer's internal data.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Sinks: Where the final "Tableau" or visualization is stored after the D3 Visualizer finishes its work.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- Solution Architecture Diagram: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469762" cy="37242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762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1: Architecture and data flow of the voice patient diary sample application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Reference: 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https://aws.amazon.com/blogs/industries/voice-applications-in-clinical-research-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powered-by-ai-on-aws-part-1-architecture-and-design-considerations/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ws.amazon.com/blogs/industries/voice-applications-in-clinical-research-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