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spacing w:after="120" w:before="480" w:lineRule="auto"/>
        <w:jc w:val="center"/>
        <w:rPr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One-Class Slab Support Vector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Rahul ReddyMuppidi-IIT2018103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Lokesh Naik- IIT2018104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Pratyush-IIT2018124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Mallampalli Maheswarnath-IIT2018137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Gowni Sai Pavan-IIT2018139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Tech(IT)-6th sem,IIIT Allahabad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pgSz w:h="16838" w:w="11906" w:orient="portrait"/>
          <w:pgMar w:bottom="2438" w:top="1077" w:left="0" w:right="81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  <w:i w:val="1"/>
        </w:rPr>
        <w:sectPr>
          <w:type w:val="continuous"/>
          <w:pgSz w:h="16838" w:w="11906" w:orient="portrait"/>
          <w:pgMar w:bottom="2438" w:top="1077" w:left="0" w:right="811" w:header="709" w:footer="709"/>
        </w:sectPr>
      </w:pPr>
      <w:r w:rsidDel="00000000" w:rsidR="00000000" w:rsidRPr="00000000">
        <w:rPr>
          <w:b w:val="1"/>
          <w:i w:val="1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80" w:line="240" w:lineRule="auto"/>
        <w:ind w:left="2160" w:right="0" w:firstLine="0"/>
        <w:jc w:val="left"/>
        <w:rPr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15.99999999999994"/>
        <w:jc w:val="both"/>
        <w:rPr/>
      </w:pPr>
      <w:r w:rsidDel="00000000" w:rsidR="00000000" w:rsidRPr="00000000">
        <w:rPr>
          <w:rtl w:val="0"/>
        </w:rPr>
        <w:t xml:space="preserve"> Abstract—This work introduces the one-class slab SVM (OC-SSVM), a one-class classifier that aims at improving the performance of the one-class SVM. The proposed strategy reduces  the false positive rate and increases the accuracy of detecting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instances from novel classes.One-class classifiers are useful in applications where collecting samples from negative classes is challenging, but gathering instances from a target class is easy. An ensemble of one-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class classifiers can solve the open-set recognition problem.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15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80" w:line="240" w:lineRule="auto"/>
        <w:ind w:left="1008" w:right="0" w:hanging="288"/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15.99999999999994"/>
        <w:jc w:val="both"/>
        <w:rPr/>
      </w:pPr>
      <w:r w:rsidDel="00000000" w:rsidR="00000000" w:rsidRPr="00000000">
        <w:rPr>
          <w:rtl w:val="0"/>
        </w:rPr>
        <w:t xml:space="preserve">Unlike the OCSVM, the proposed OCSSVM approach encloses the normal region of the target class in feature space by using two parallel hyperplanes. When 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instance falls inside the normal region or the slab created by the hyperplanes, the OCSSVM labels it as a sample from the target class, and negative otherwise. Below picture provides an overview of this new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vertAlign w:val="superscript"/>
        </w:rPr>
      </w:pPr>
      <w:r w:rsidDel="00000000" w:rsidR="00000000" w:rsidRPr="00000000">
        <w:rPr>
          <w:vertAlign w:val="superscript"/>
        </w:rPr>
        <w:drawing>
          <wp:inline distB="114300" distT="114300" distL="114300" distR="114300">
            <wp:extent cx="2286000" cy="175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502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ab/>
        <w:tab/>
        <w:t xml:space="preserve">figure(1) [1]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15.99999999999994"/>
        <w:jc w:val="both"/>
        <w:rPr/>
      </w:pPr>
      <w:r w:rsidDel="00000000" w:rsidR="00000000" w:rsidRPr="00000000">
        <w:rPr>
          <w:rtl w:val="0"/>
        </w:rPr>
        <w:t xml:space="preserve">Their strategy consists of mapping the data to a feature space via kernel methods. Subsequently, it finds a hyperplane in this new feature space that maximizes the margin between the origin and the data.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15.99999999999994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58280" cy="8985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280" cy="89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15.99999999999994"/>
        <w:jc w:val="both"/>
        <w:rPr/>
      </w:pPr>
      <w:r w:rsidDel="00000000" w:rsidR="00000000" w:rsidRPr="00000000">
        <w:rPr>
          <w:rtl w:val="0"/>
        </w:rPr>
        <w:t xml:space="preserve">where m is the number of total training samples from the target class; ν is an upper-bound on the fraction of outliers and a lower bound on the fraction of support vectors (SV); xi is the i-th training sample feature vector; w is the hyperplane normal vector.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80" w:line="240" w:lineRule="auto"/>
        <w:ind w:left="1008" w:right="0" w:hanging="288"/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1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right="-300" w:firstLine="0"/>
        <w:rPr/>
      </w:pPr>
      <w:r w:rsidDel="00000000" w:rsidR="00000000" w:rsidRPr="00000000">
        <w:rPr>
          <w:rtl w:val="0"/>
        </w:rPr>
        <w:t xml:space="preserve">We are using MCC for comparing results.</w:t>
      </w:r>
    </w:p>
    <w:p w:rsidR="00000000" w:rsidDel="00000000" w:rsidP="00000000" w:rsidRDefault="00000000" w:rsidRPr="00000000" w14:paraId="0000001D">
      <w:pPr>
        <w:ind w:left="720" w:right="-300" w:firstLine="0"/>
        <w:rPr/>
      </w:pPr>
      <w:r w:rsidDel="00000000" w:rsidR="00000000" w:rsidRPr="00000000">
        <w:rPr>
          <w:rtl w:val="0"/>
        </w:rPr>
        <w:t xml:space="preserve">The Matthews correlation coefficient (</w:t>
      </w:r>
      <w:r w:rsidDel="00000000" w:rsidR="00000000" w:rsidRPr="00000000">
        <w:rPr>
          <w:b w:val="1"/>
          <w:rtl w:val="0"/>
        </w:rPr>
        <w:t xml:space="preserve">MCC</w:t>
      </w:r>
      <w:r w:rsidDel="00000000" w:rsidR="00000000" w:rsidRPr="00000000">
        <w:rPr>
          <w:rtl w:val="0"/>
        </w:rPr>
        <w:t xml:space="preserve">) or phi coefficient is used in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as a measure of the quality of binary (two-class) classifications.</w:t>
      </w:r>
    </w:p>
    <w:p w:rsidR="00000000" w:rsidDel="00000000" w:rsidP="00000000" w:rsidRDefault="00000000" w:rsidRPr="00000000" w14:paraId="0000001E">
      <w:pPr>
        <w:ind w:left="720" w:righ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right="-300" w:firstLine="0"/>
        <w:rPr/>
      </w:pPr>
      <w:r w:rsidDel="00000000" w:rsidR="00000000" w:rsidRPr="00000000">
        <w:rPr>
          <w:rtl w:val="0"/>
        </w:rPr>
        <w:t xml:space="preserve">We can calculate the MCC from confusion matrix by using below formula</w:t>
      </w:r>
    </w:p>
    <w:p w:rsidR="00000000" w:rsidDel="00000000" w:rsidP="00000000" w:rsidRDefault="00000000" w:rsidRPr="00000000" w14:paraId="00000020">
      <w:pPr>
        <w:ind w:left="720" w:right="-300" w:firstLine="0"/>
        <w:rPr/>
      </w:pPr>
      <w:r w:rsidDel="00000000" w:rsidR="00000000" w:rsidRPr="00000000">
        <w:rPr/>
        <w:drawing>
          <wp:inline distB="114300" distT="114300" distL="114300" distR="114300">
            <wp:extent cx="3295650" cy="49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righ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-300" w:firstLine="0"/>
        <w:rPr/>
      </w:pPr>
      <w:r w:rsidDel="00000000" w:rsidR="00000000" w:rsidRPr="00000000">
        <w:rPr>
          <w:rtl w:val="0"/>
        </w:rPr>
        <w:t xml:space="preserve">Results compared in below table </w:t>
      </w:r>
    </w:p>
    <w:p w:rsidR="00000000" w:rsidDel="00000000" w:rsidP="00000000" w:rsidRDefault="00000000" w:rsidRPr="00000000" w14:paraId="00000024">
      <w:pPr>
        <w:ind w:left="720" w:right="-300" w:firstLine="0"/>
        <w:rPr/>
      </w:pPr>
      <w:r w:rsidDel="00000000" w:rsidR="00000000" w:rsidRPr="00000000">
        <w:rPr/>
        <w:drawing>
          <wp:inline distB="114300" distT="114300" distL="114300" distR="114300">
            <wp:extent cx="3295650" cy="152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right="-300" w:firstLine="0"/>
        <w:rPr/>
      </w:pPr>
      <w:r w:rsidDel="00000000" w:rsidR="00000000" w:rsidRPr="00000000">
        <w:rPr>
          <w:rtl w:val="0"/>
        </w:rPr>
        <w:tab/>
        <w:tab/>
        <w:tab/>
        <w:t xml:space="preserve">fig(2)[1]</w:t>
      </w:r>
    </w:p>
    <w:p w:rsidR="00000000" w:rsidDel="00000000" w:rsidP="00000000" w:rsidRDefault="00000000" w:rsidRPr="00000000" w14:paraId="00000026">
      <w:pPr>
        <w:ind w:left="720" w:right="-300" w:firstLine="0"/>
        <w:rPr/>
      </w:pPr>
      <w:r w:rsidDel="00000000" w:rsidR="00000000" w:rsidRPr="00000000">
        <w:rPr>
          <w:rtl w:val="0"/>
        </w:rPr>
        <w:t xml:space="preserve">The experiments trained a one-class classifier for each class in the datasets. Recall that one-class classifiers only use positive samples for training. To evaluate the performance of the one-class classifiers, the experiments used the remaining</w:t>
      </w:r>
    </w:p>
    <w:p w:rsidR="00000000" w:rsidDel="00000000" w:rsidP="00000000" w:rsidRDefault="00000000" w:rsidRPr="00000000" w14:paraId="00000027">
      <w:pPr>
        <w:ind w:left="720" w:right="-300" w:firstLine="0"/>
        <w:rPr/>
      </w:pPr>
      <w:r w:rsidDel="00000000" w:rsidR="00000000" w:rsidRPr="00000000">
        <w:rPr>
          <w:rtl w:val="0"/>
        </w:rPr>
        <w:t xml:space="preserve">classes as negative samples (i.e., novel class instances). The tested datasets are unbalanced in this setting since there are more instances from the negative class compared to the positive class.</w:t>
      </w:r>
    </w:p>
    <w:p w:rsidR="00000000" w:rsidDel="00000000" w:rsidP="00000000" w:rsidRDefault="00000000" w:rsidRPr="00000000" w14:paraId="00000028">
      <w:pPr>
        <w:ind w:left="720" w:righ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180" w:lineRule="auto"/>
        <w:ind w:lef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60" w:before="180" w:lineRule="auto"/>
        <w:ind w:left="1008" w:hanging="288"/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right="-300" w:firstLine="0"/>
        <w:rPr/>
      </w:pPr>
      <w:r w:rsidDel="00000000" w:rsidR="00000000" w:rsidRPr="00000000">
        <w:rPr>
          <w:rtl w:val="0"/>
        </w:rPr>
        <w:t xml:space="preserve">Although it is trained only on positive samples we can still see improvement in performance.</w:t>
      </w:r>
    </w:p>
    <w:p w:rsidR="00000000" w:rsidDel="00000000" w:rsidP="00000000" w:rsidRDefault="00000000" w:rsidRPr="00000000" w14:paraId="0000002C">
      <w:pPr>
        <w:ind w:left="720" w:right="-30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2D">
      <w:pPr>
        <w:ind w:left="720" w:right="-3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line="276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[1]-Fragoso, Victor &amp; Scheirer, Walter &amp; Hespanha, Joao &amp; Turk, Matthew. (2016). One-Class Slab Support Vector Machine.</w:t>
      </w:r>
    </w:p>
    <w:p w:rsidR="00000000" w:rsidDel="00000000" w:rsidP="00000000" w:rsidRDefault="00000000" w:rsidRPr="00000000" w14:paraId="0000002F">
      <w:pPr>
        <w:widowControl w:val="0"/>
        <w:spacing w:after="240" w:line="276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line="276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line="276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line="276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="276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6838" w:w="11906" w:orient="portrait"/>
          <w:pgMar w:bottom="2438" w:top="1077" w:left="0" w:right="811" w:header="709" w:footer="709"/>
          <w:cols w:equalWidth="0" w:num="2">
            <w:col w:space="720" w:w="5187.5"/>
            <w:col w:space="0" w:w="5187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line="276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line="276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438" w:top="1077" w:left="0" w:right="81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360" w:hanging="36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