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b/>
          <w:color w:val="1569AC"/>
          <w:sz w:val="20"/>
        </w:rPr>
        <w:t>INFORME TÉCNICO · RESULTADOS VERIFICADOS</w:t>
      </w:r>
    </w:p>
    <w:p>
      <w:pPr>
        <w:pStyle w:val="Title"/>
      </w:pPr>
      <w:r>
        <w:t>Evaluación comparativa de modelos preentrenados de Hugging Face</w:t>
      </w:r>
    </w:p>
    <w:p>
      <w:r>
        <w:rPr>
          <w:color w:val="606F7C"/>
          <w:sz w:val="27"/>
        </w:rPr>
        <w:t>Análisis de sentimientos binario en reseñas de películas en inglés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12"/>
      </w:tblGrid>
      <w:tr>
        <w:trPr>
          <w:tblHeader/>
        </w:trPr>
        <w:tc>
          <w:tcPr>
            <w:tcW w:type="dxa" w:w="3096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9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Rama de IA</w:t>
            </w:r>
          </w:p>
        </w:tc>
        <w:tc>
          <w:tcPr>
            <w:tcW w:type="dxa" w:w="6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Procesamiento del Lenguaje Natural (NLP)</w:t>
            </w:r>
          </w:p>
        </w:tc>
      </w:tr>
      <w:tr>
        <w:tc>
          <w:tcPr>
            <w:tcW w:type="dxa" w:w="3096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Dataset evaluado</w:t>
            </w:r>
          </w:p>
        </w:tc>
        <w:tc>
          <w:tcPr>
            <w:tcW w:type="dxa" w:w="691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GLUE / SST-2 · validation · 872 frases</w:t>
            </w:r>
          </w:p>
        </w:tc>
      </w:tr>
      <w:tr>
        <w:tc>
          <w:tcPr>
            <w:tcW w:type="dxa" w:w="309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Modelos</w:t>
            </w:r>
          </w:p>
        </w:tc>
        <w:tc>
          <w:tcPr>
            <w:tcW w:type="dxa" w:w="6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DistilBERT · BERT · RoBERTa</w:t>
            </w:r>
          </w:p>
        </w:tc>
      </w:tr>
      <w:tr>
        <w:tc>
          <w:tcPr>
            <w:tcW w:type="dxa" w:w="3096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Entorno</w:t>
            </w:r>
          </w:p>
        </w:tc>
        <w:tc>
          <w:tcPr>
            <w:tcW w:type="dxa" w:w="691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Google Colab · Tesla T4 · CUDA 13.0</w:t>
            </w:r>
          </w:p>
        </w:tc>
      </w:tr>
      <w:tr>
        <w:tc>
          <w:tcPr>
            <w:tcW w:type="dxa" w:w="309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Fecha experimental</w:t>
            </w:r>
          </w:p>
        </w:tc>
        <w:tc>
          <w:tcPr>
            <w:tcW w:type="dxa" w:w="6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12 octubre 2026, 01:35 UTC (11 oct., CDMX)</w:t>
            </w:r>
          </w:p>
        </w:tc>
      </w:tr>
      <w:tr>
        <w:tc>
          <w:tcPr>
            <w:tcW w:type="dxa" w:w="3096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Estado</w:t>
            </w:r>
          </w:p>
        </w:tc>
        <w:tc>
          <w:tcPr>
            <w:tcW w:type="dxa" w:w="691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Ejecución completada; métricas recalculadas y verificadas</w:t>
            </w:r>
          </w:p>
        </w:tc>
      </w:tr>
    </w:tbl>
    <w:p>
      <w:pPr>
        <w:spacing w:after="0"/>
      </w:pPr>
    </w:p>
    <w:p>
      <w:r>
        <w:t>Propósito: seleccionar un checkpoint preentrenado técnicamente adecuado según calidad, latencia, memoria, derechos de uso y reproducibilidad. Este informe utiliza las evidencias de una ejecución real en Colab, no resultados simulados.</w:t>
      </w:r>
    </w:p>
    <w:p>
      <w:r>
        <w:t>Resultado clave: RoBERTa tiene el F1 macro más alto (94.03 %); DistilBERT satisface los umbrales del prototipo y es el candidato aprobado bajo el requisito de licencia documentada.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evaluaron tres clasificadores de sentimiento SST-2 con idénticas 872 frases de validación y configuración común de inferencia. Se conservaron las predicciones, matrices de confusión, versiones de software y revisiones SHA de modelos y dataset. Las métricas reportadas en el CSV fueron recalculadas por separado, con coincidencia exacta dentro de la precisión numérica.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624"/>
      </w:tblGrid>
      <w:tr>
        <w:trPr>
          <w:tblHeader/>
        </w:trPr>
        <w:tc>
          <w:tcPr>
            <w:tcW w:type="dxa" w:w="3384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624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medido / decisión</w:t>
            </w:r>
          </w:p>
        </w:tc>
      </w:tr>
      <w:tr>
        <w:tc>
          <w:tcPr>
            <w:tcW w:type="dxa" w:w="338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Mayor F1 macro</w:t>
            </w:r>
          </w:p>
        </w:tc>
        <w:tc>
          <w:tcPr>
            <w:tcW w:type="dxa" w:w="662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RoBERTa: 94.03 %</w:t>
            </w:r>
          </w:p>
        </w:tc>
      </w:tr>
      <w:tr>
        <w:tc>
          <w:tcPr>
            <w:tcW w:type="dxa" w:w="338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Menor latencia p95</w:t>
            </w:r>
          </w:p>
        </w:tc>
        <w:tc>
          <w:tcPr>
            <w:tcW w:type="dxa" w:w="662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DistilBERT: 14.10 ms</w:t>
            </w:r>
          </w:p>
        </w:tc>
      </w:tr>
      <w:tr>
        <w:tc>
          <w:tcPr>
            <w:tcW w:type="dxa" w:w="338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Menor uso máximo de VRAM</w:t>
            </w:r>
          </w:p>
        </w:tc>
        <w:tc>
          <w:tcPr>
            <w:tcW w:type="dxa" w:w="662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DistilBERT: 322.86 MiB</w:t>
            </w:r>
          </w:p>
        </w:tc>
      </w:tr>
      <w:tr>
        <w:tc>
          <w:tcPr>
            <w:tcW w:type="dxa" w:w="338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Modelo recomendado</w:t>
            </w:r>
          </w:p>
        </w:tc>
        <w:tc>
          <w:tcPr>
            <w:tcW w:type="dxa" w:w="662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DistilBERT, para este prototipo y umbrales específicos</w:t>
            </w:r>
          </w:p>
        </w:tc>
      </w:tr>
      <w:tr>
        <w:tc>
          <w:tcPr>
            <w:tcW w:type="dxa" w:w="338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Restricción pendiente</w:t>
            </w:r>
          </w:p>
        </w:tc>
        <w:tc>
          <w:tcPr>
            <w:tcW w:type="dxa" w:w="662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8"/>
              </w:rPr>
              <w:t>Aclarar las licencias de los checkpoints TextAttack antes de utilizarlos en producción</w:t>
            </w:r>
          </w:p>
        </w:tc>
      </w:tr>
    </w:tbl>
    <w:p>
      <w:pPr>
        <w:spacing w:after="0"/>
      </w:pPr>
    </w:p>
    <w:p>
      <w:r>
        <w:t>La recomendación no equivale a afirmar que DistilBERT sea el más preciso: RoBERTa mejora su F1 macro en 2.99 puntos porcentuales. La elección incorpora objetivos de eficiencia y una política de licencia explícita que limita a los candidatos elegibles.</w:t>
      </w:r>
    </w:p>
    <w:p>
      <w:pPr>
        <w:pStyle w:val="Heading1"/>
      </w:pPr>
      <w:r>
        <w:t>2. Caso de uso y alcance</w:t>
      </w:r>
    </w:p>
    <w:p>
      <w:r>
        <w:t>Entrada: una frase de reseña cinematográfica en inglés. Salida: sentimiento negativo (0) o positivo (1) y un score de confianza del clasificador. El prototipo busca categorizar opiniones escritas para exploración agregada; no constituye una herramienta para decidir sobre personas o dar asesoramiento sensible.</w:t>
      </w:r>
    </w:p>
    <w:p>
      <w:r>
        <w:t>El benchmark es específico de críticas de cine en inglés. No demuestra desempeño en español, comentarios bancarios, sarcasmo o quejas de clientes. La confianza del pipeline no está calibrada y no equivale automáticamente a probabilidad confiable.</w:t>
      </w:r>
    </w:p>
    <w:p>
      <w:pPr>
        <w:pStyle w:val="Heading1"/>
      </w:pPr>
      <w:r>
        <w:t>3. Ecosistema de Hugging 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4003"/>
        <w:gridCol w:w="4450"/>
      </w:tblGrid>
      <w:tr>
        <w:trPr>
          <w:tblHeader/>
        </w:trPr>
        <w:tc>
          <w:tcPr>
            <w:tcW w:type="dxa" w:w="1555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4003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4450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Aplicación en el proyecto</w:t>
            </w:r>
          </w:p>
        </w:tc>
      </w:tr>
      <w:tr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Models</w:t>
            </w:r>
          </w:p>
        </w:tc>
        <w:tc>
          <w:tcPr>
            <w:tcW w:type="dxa" w:w="400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Catálogo de modelos, pesos, tokenizadores, versionado y model cards.</w:t>
            </w:r>
          </w:p>
        </w:tc>
        <w:tc>
          <w:tcPr>
            <w:tcW w:type="dxa" w:w="445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Tres checkpoints SST-2 y SHA de revisión guardado.</w:t>
            </w:r>
          </w:p>
        </w:tc>
      </w:tr>
      <w:tr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Datasets</w:t>
            </w:r>
          </w:p>
        </w:tc>
        <w:tc>
          <w:tcPr>
            <w:tcW w:type="dxa" w:w="400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Biblioteca de corpus, splits, etiquetas y metadatos.</w:t>
            </w:r>
          </w:p>
        </w:tc>
        <w:tc>
          <w:tcPr>
            <w:tcW w:type="dxa" w:w="445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Carga del split validation de nyu-mll/glue, configuración sst2.</w:t>
            </w:r>
          </w:p>
        </w:tc>
      </w:tr>
      <w:tr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Spaces</w:t>
            </w:r>
          </w:p>
        </w:tc>
        <w:tc>
          <w:tcPr>
            <w:tcW w:type="dxa" w:w="400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Apps para presentar demostraciones, por ejemplo Gradio.</w:t>
            </w:r>
          </w:p>
        </w:tc>
        <w:tc>
          <w:tcPr>
            <w:tcW w:type="dxa" w:w="445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Alternativa de despliegue futuro; no se publicó una app.</w:t>
            </w:r>
          </w:p>
        </w:tc>
      </w:tr>
    </w:tbl>
    <w:p>
      <w:pPr>
        <w:spacing w:after="0"/>
      </w:pPr>
    </w:p>
    <w:p>
      <w:pPr>
        <w:pStyle w:val="Heading1"/>
      </w:pPr>
      <w:r>
        <w:t>4. Datos y trazabilidad</w:t>
      </w:r>
    </w:p>
    <w:p>
      <w:r>
        <w:t>Origen: nyu-mll/glue, configuración sst2, split validation; 872 observaciones etiquetadas. El corpus SST-2 procede de reseñas de películas. Se empleó validation y no test, porque las etiquetas públicas permiten calcular las cuatro métricas. El CSV conserva la revisión exacta de Hub y un hash de contenido.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613"/>
        <w:gridCol w:w="6782"/>
      </w:tblGrid>
      <w:tr>
        <w:trPr>
          <w:tblHeader/>
        </w:trPr>
        <w:tc>
          <w:tcPr>
            <w:tcW w:type="dxa" w:w="1613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613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6782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idx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Entero</w:t>
            </w:r>
          </w:p>
        </w:tc>
        <w:tc>
          <w:tcPr>
            <w:tcW w:type="dxa" w:w="67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ID único, permite comparar filas y errores.</w:t>
            </w:r>
          </w:p>
        </w:tc>
      </w:tr>
      <w:tr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sentence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Texto</w:t>
            </w:r>
          </w:p>
        </w:tc>
        <w:tc>
          <w:tcPr>
            <w:tcW w:type="dxa" w:w="678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Frase original para inferencia.</w:t>
            </w:r>
          </w:p>
        </w:tc>
      </w:tr>
      <w:tr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label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0 / 1</w:t>
            </w:r>
          </w:p>
        </w:tc>
        <w:tc>
          <w:tcPr>
            <w:tcW w:type="dxa" w:w="67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Etiqueta real: negativo / positivo.</w:t>
            </w:r>
          </w:p>
        </w:tc>
      </w:tr>
      <w:tr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source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Texto</w:t>
            </w:r>
          </w:p>
        </w:tc>
        <w:tc>
          <w:tcPr>
            <w:tcW w:type="dxa" w:w="678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Identificador de procedencia del dataset.</w:t>
            </w:r>
          </w:p>
        </w:tc>
      </w:tr>
      <w:tr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split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Texto</w:t>
            </w:r>
          </w:p>
        </w:tc>
        <w:tc>
          <w:tcPr>
            <w:tcW w:type="dxa" w:w="67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División validation o control sintético.</w:t>
            </w:r>
          </w:p>
        </w:tc>
      </w:tr>
    </w:tbl>
    <w:p>
      <w:pPr>
        <w:spacing w:after="0"/>
      </w:pPr>
    </w:p>
    <w:p>
      <w:r>
        <w:t>Integridad: 872 filas; SHA-256 del CSV = 870a7aa452e28083f3ed48ebf771e69f1dd78f34faad7ec3adafd81533d6f1c8. Revisiones de modelos y entorno almacenados en results/environment.json.</w:t>
      </w:r>
    </w:p>
    <w:p>
      <w:r>
        <w:t>El dataset sintético adicional de 80 frases solo permite pruebas de humo; NO se utilizó para calcular las métricas principales. Los textos del benchmark original y las predicciones que los contienen están disponibles en el paquete local, pero se excluyen de nuevos commits públicos por defecto hasta revisar permisos de redistribución.</w:t>
      </w:r>
    </w:p>
    <w:p>
      <w:pPr>
        <w:pStyle w:val="Heading1"/>
      </w:pPr>
      <w:r>
        <w:t>5. Selección y protocolo técnico</w:t>
      </w:r>
    </w:p>
    <w:p>
      <w:r>
        <w:t>Criterios: compatibilidad con clasificación binaria en inglés, calidad predictiva con ponderación macro para ambas etiquetas, latencia por solicitud, throughput en lotes, memoria GPU, tamaño de pesos, documentación de licencia y capacidad de reproducción. Los checkpoints ya estaban afinados para SST-2, por lo que no se realizó fine-tuning adicional.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tblHeader/>
        </w:trPr>
        <w:tc>
          <w:tcPr>
            <w:tcW w:type="dxa" w:w="3024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6984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 aplicado</w:t>
            </w:r>
          </w:p>
        </w:tc>
      </w:tr>
      <w:tr>
        <w:tc>
          <w:tcPr>
            <w:tcW w:type="dxa" w:w="302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GPU / software</w:t>
            </w:r>
          </w:p>
        </w:tc>
        <w:tc>
          <w:tcPr>
            <w:tcW w:type="dxa" w:w="698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Tesla T4; CUDA 13.0; PyTorch 2.11.0+cu130; Transformers 4.52.4; Python 3.13.15</w:t>
            </w:r>
          </w:p>
        </w:tc>
      </w:tr>
      <w:tr>
        <w:tc>
          <w:tcPr>
            <w:tcW w:type="dxa" w:w="302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Muestras</w:t>
            </w:r>
          </w:p>
        </w:tc>
        <w:tc>
          <w:tcPr>
            <w:tcW w:type="dxa" w:w="698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872, mismo orden y conjunto en todos los modelos</w:t>
            </w:r>
          </w:p>
        </w:tc>
      </w:tr>
      <w:tr>
        <w:tc>
          <w:tcPr>
            <w:tcW w:type="dxa" w:w="302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Semilla / lote / longitud</w:t>
            </w:r>
          </w:p>
        </w:tc>
        <w:tc>
          <w:tcPr>
            <w:tcW w:type="dxa" w:w="698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42 / batch_size 32 / max_length 128 (truncamiento)</w:t>
            </w:r>
          </w:p>
        </w:tc>
      </w:tr>
      <w:tr>
        <w:tc>
          <w:tcPr>
            <w:tcW w:type="dxa" w:w="302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Ejecución</w:t>
            </w:r>
          </w:p>
        </w:tc>
        <w:tc>
          <w:tcPr>
            <w:tcW w:type="dxa" w:w="698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Secuencial, pipeline Transformers, CUDA sincronizada, 3 calentamientos</w:t>
            </w:r>
          </w:p>
        </w:tc>
      </w:tr>
      <w:tr>
        <w:tc>
          <w:tcPr>
            <w:tcW w:type="dxa" w:w="302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Latencia p50/p95</w:t>
            </w:r>
          </w:p>
        </w:tc>
        <w:tc>
          <w:tcPr>
            <w:tcW w:type="dxa" w:w="698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Hasta 80 textos individuales tras calentamiento; ms de pipeline end-to-end</w:t>
            </w:r>
          </w:p>
        </w:tc>
      </w:tr>
      <w:tr>
        <w:tc>
          <w:tcPr>
            <w:tcW w:type="dxa" w:w="302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Costo técnico</w:t>
            </w:r>
          </w:p>
        </w:tc>
        <w:tc>
          <w:tcPr>
            <w:tcW w:type="dxa" w:w="698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Segundos GPU estimados por 1 000 textos a throughput medido por lotes</w:t>
            </w:r>
          </w:p>
        </w:tc>
      </w:tr>
    </w:tbl>
    <w:p>
      <w:pPr>
        <w:spacing w:after="0"/>
      </w:pPr>
    </w:p>
    <w:p>
      <w:r>
        <w:t>Accuracy = (TP + TN) / N. Precision = TP / (TP + FP), recall = TP / (TP + FN) y F1 = 2PR / (P + R). Las métricas macro calculan una media no ponderada entre las dos clases. Se reporta además recall positivo y matriz de confusión para revelar posibles asimetrías.</w:t>
      </w:r>
    </w:p>
    <w:p>
      <w:pPr>
        <w:pStyle w:val="Heading1"/>
      </w:pPr>
      <w:r>
        <w:t>6. Comparación de desempeño observada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1570"/>
        <w:gridCol w:w="1800"/>
        <w:gridCol w:w="1670"/>
        <w:gridCol w:w="1555"/>
        <w:gridCol w:w="1858"/>
      </w:tblGrid>
      <w:tr>
        <w:trPr>
          <w:tblHeader/>
        </w:trPr>
        <w:tc>
          <w:tcPr>
            <w:tcW w:type="dxa" w:w="1555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570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800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Precision macro</w:t>
            </w:r>
          </w:p>
        </w:tc>
        <w:tc>
          <w:tcPr>
            <w:tcW w:type="dxa" w:w="1670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Recall macro</w:t>
            </w:r>
          </w:p>
        </w:tc>
        <w:tc>
          <w:tcPr>
            <w:tcW w:type="dxa" w:w="1555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F1 macro</w:t>
            </w:r>
          </w:p>
        </w:tc>
        <w:tc>
          <w:tcPr>
            <w:tcW w:type="dxa" w:w="185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Errores</w:t>
            </w:r>
          </w:p>
        </w:tc>
      </w:tr>
      <w:tr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DistilBERT</w:t>
            </w:r>
          </w:p>
        </w:tc>
        <w:tc>
          <w:tcPr>
            <w:tcW w:type="dxa" w:w="157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91.06 %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91.13 %</w:t>
            </w:r>
          </w:p>
        </w:tc>
        <w:tc>
          <w:tcPr>
            <w:tcW w:type="dxa" w:w="167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91.02 %</w:t>
            </w:r>
          </w:p>
        </w:tc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91.04 %</w:t>
            </w:r>
          </w:p>
        </w:tc>
        <w:tc>
          <w:tcPr>
            <w:tcW w:type="dxa" w:w="185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78</w:t>
            </w:r>
          </w:p>
        </w:tc>
      </w:tr>
      <w:tr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BERT</w:t>
            </w:r>
          </w:p>
        </w:tc>
        <w:tc>
          <w:tcPr>
            <w:tcW w:type="dxa" w:w="157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92.43 %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92.45 %</w:t>
            </w:r>
          </w:p>
        </w:tc>
        <w:tc>
          <w:tcPr>
            <w:tcW w:type="dxa" w:w="167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92.41 %</w:t>
            </w:r>
          </w:p>
        </w:tc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92.43 %</w:t>
            </w:r>
          </w:p>
        </w:tc>
        <w:tc>
          <w:tcPr>
            <w:tcW w:type="dxa" w:w="185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66</w:t>
            </w:r>
          </w:p>
        </w:tc>
      </w:tr>
      <w:tr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RoBERTa</w:t>
            </w:r>
          </w:p>
        </w:tc>
        <w:tc>
          <w:tcPr>
            <w:tcW w:type="dxa" w:w="157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94.04 %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94.04 %</w:t>
            </w:r>
          </w:p>
        </w:tc>
        <w:tc>
          <w:tcPr>
            <w:tcW w:type="dxa" w:w="167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94.03 %</w:t>
            </w:r>
          </w:p>
        </w:tc>
        <w:tc>
          <w:tcPr>
            <w:tcW w:type="dxa" w:w="155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94.03 %</w:t>
            </w:r>
          </w:p>
        </w:tc>
        <w:tc>
          <w:tcPr>
            <w:tcW w:type="dxa" w:w="185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52</w:t>
            </w:r>
          </w:p>
        </w:tc>
      </w:tr>
    </w:tbl>
    <w:p>
      <w:pPr>
        <w:spacing w:after="0"/>
      </w:pPr>
    </w:p>
    <w:p>
      <w:r>
        <w:t>Resultado: RoBERTa maximiza las métricas de clasificación con 820 aciertos y 52 errores; BERT registra 806 aciertos (66 errores), y DistilBERT 794 aciertos (78 errores). Diferencias descriptivas sobre este benchmark, no pruebas de superioridad estadística o generalización a otros dominios.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282"/>
        <w:gridCol w:w="1267"/>
        <w:gridCol w:w="1267"/>
        <w:gridCol w:w="1469"/>
        <w:gridCol w:w="1613"/>
        <w:gridCol w:w="1598"/>
      </w:tblGrid>
      <w:tr>
        <w:trPr>
          <w:tblHeader/>
        </w:trPr>
        <w:tc>
          <w:tcPr>
            <w:tcW w:type="dxa" w:w="1512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282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Parám.</w:t>
            </w:r>
          </w:p>
        </w:tc>
        <w:tc>
          <w:tcPr>
            <w:tcW w:type="dxa" w:w="1267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p50 ms</w:t>
            </w:r>
          </w:p>
        </w:tc>
        <w:tc>
          <w:tcPr>
            <w:tcW w:type="dxa" w:w="1267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p95 ms</w:t>
            </w:r>
          </w:p>
        </w:tc>
        <w:tc>
          <w:tcPr>
            <w:tcW w:type="dxa" w:w="1469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Textos/s</w:t>
            </w:r>
          </w:p>
        </w:tc>
        <w:tc>
          <w:tcPr>
            <w:tcW w:type="dxa" w:w="1613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VRAM MiB</w:t>
            </w:r>
          </w:p>
        </w:tc>
        <w:tc>
          <w:tcPr>
            <w:tcW w:type="dxa" w:w="159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GPU s / 1k</w:t>
            </w:r>
          </w:p>
        </w:tc>
      </w:tr>
      <w:tr>
        <w:tc>
          <w:tcPr>
            <w:tcW w:type="dxa" w:w="15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DistilBERT</w:t>
            </w:r>
          </w:p>
        </w:tc>
        <w:tc>
          <w:tcPr>
            <w:tcW w:type="dxa" w:w="12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67.0 M</w:t>
            </w:r>
          </w:p>
        </w:tc>
        <w:tc>
          <w:tcPr>
            <w:tcW w:type="dxa" w:w="126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7.49</w:t>
            </w:r>
          </w:p>
        </w:tc>
        <w:tc>
          <w:tcPr>
            <w:tcW w:type="dxa" w:w="126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14.10</w:t>
            </w:r>
          </w:p>
        </w:tc>
        <w:tc>
          <w:tcPr>
            <w:tcW w:type="dxa" w:w="14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609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322.9</w:t>
            </w:r>
          </w:p>
        </w:tc>
        <w:tc>
          <w:tcPr>
            <w:tcW w:type="dxa" w:w="159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1.64</w:t>
            </w:r>
          </w:p>
        </w:tc>
      </w:tr>
      <w:tr>
        <w:tc>
          <w:tcPr>
            <w:tcW w:type="dxa" w:w="151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BERT</w:t>
            </w:r>
          </w:p>
        </w:tc>
        <w:tc>
          <w:tcPr>
            <w:tcW w:type="dxa" w:w="128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109.5 M</w:t>
            </w:r>
          </w:p>
        </w:tc>
        <w:tc>
          <w:tcPr>
            <w:tcW w:type="dxa" w:w="1267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26.35</w:t>
            </w:r>
          </w:p>
        </w:tc>
        <w:tc>
          <w:tcPr>
            <w:tcW w:type="dxa" w:w="1267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42.67</w:t>
            </w:r>
          </w:p>
        </w:tc>
        <w:tc>
          <w:tcPr>
            <w:tcW w:type="dxa" w:w="1469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232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485.9</w:t>
            </w:r>
          </w:p>
        </w:tc>
        <w:tc>
          <w:tcPr>
            <w:tcW w:type="dxa" w:w="159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4.32</w:t>
            </w:r>
          </w:p>
        </w:tc>
      </w:tr>
      <w:tr>
        <w:tc>
          <w:tcPr>
            <w:tcW w:type="dxa" w:w="15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RoBERTa</w:t>
            </w:r>
          </w:p>
        </w:tc>
        <w:tc>
          <w:tcPr>
            <w:tcW w:type="dxa" w:w="12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124.6 M</w:t>
            </w:r>
          </w:p>
        </w:tc>
        <w:tc>
          <w:tcPr>
            <w:tcW w:type="dxa" w:w="126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41.41</w:t>
            </w:r>
          </w:p>
        </w:tc>
        <w:tc>
          <w:tcPr>
            <w:tcW w:type="dxa" w:w="126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62.47</w:t>
            </w:r>
          </w:p>
        </w:tc>
        <w:tc>
          <w:tcPr>
            <w:tcW w:type="dxa" w:w="14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335</w:t>
            </w:r>
          </w:p>
        </w:tc>
        <w:tc>
          <w:tcPr>
            <w:tcW w:type="dxa" w:w="161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553.2</w:t>
            </w:r>
          </w:p>
        </w:tc>
        <w:tc>
          <w:tcPr>
            <w:tcW w:type="dxa" w:w="159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2.99</w:t>
            </w:r>
          </w:p>
        </w:tc>
      </w:tr>
    </w:tbl>
    <w:p>
      <w:pPr>
        <w:spacing w:after="0"/>
      </w:pPr>
    </w:p>
    <w:p>
      <w:r>
        <w:t>Las inferencias por lote miden throughput; las latencias individuales reflejan otra modalidad. Por ello, RoBERTa presenta mayor throughput que BERT pese a registrar un p95 individual más alto. Las cifras son de una única sesión de Colab y no son un acuerdo de nivel de servicio.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F1 macro frente a latencia p95 individual en Tesla T4 (mediciones de la sesión Colab).</w:t>
      </w:r>
    </w:p>
    <w:p>
      <w:pPr>
        <w:pStyle w:val="Heading1"/>
      </w:pPr>
      <w:r>
        <w:t>7. Errores de clasificación y matriz de confusión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1008"/>
        <w:gridCol w:w="1008"/>
        <w:gridCol w:w="1008"/>
        <w:gridCol w:w="1008"/>
        <w:gridCol w:w="4090"/>
      </w:tblGrid>
      <w:tr>
        <w:trPr>
          <w:tblHeader/>
        </w:trPr>
        <w:tc>
          <w:tcPr>
            <w:tcW w:type="dxa" w:w="1886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00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TN</w:t>
            </w:r>
          </w:p>
        </w:tc>
        <w:tc>
          <w:tcPr>
            <w:tcW w:type="dxa" w:w="100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FP</w:t>
            </w:r>
          </w:p>
        </w:tc>
        <w:tc>
          <w:tcPr>
            <w:tcW w:type="dxa" w:w="100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FN</w:t>
            </w:r>
          </w:p>
        </w:tc>
        <w:tc>
          <w:tcPr>
            <w:tcW w:type="dxa" w:w="100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type="dxa" w:w="4090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Recall positivo</w:t>
            </w:r>
          </w:p>
        </w:tc>
      </w:tr>
      <w:tr>
        <w:tc>
          <w:tcPr>
            <w:tcW w:type="dxa" w:w="188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DistilBERT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381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47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31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413</w:t>
            </w:r>
          </w:p>
        </w:tc>
        <w:tc>
          <w:tcPr>
            <w:tcW w:type="dxa" w:w="409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93.02 %</w:t>
            </w:r>
          </w:p>
        </w:tc>
      </w:tr>
      <w:tr>
        <w:tc>
          <w:tcPr>
            <w:tcW w:type="dxa" w:w="1886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BERT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391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37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29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415</w:t>
            </w:r>
          </w:p>
        </w:tc>
        <w:tc>
          <w:tcPr>
            <w:tcW w:type="dxa" w:w="409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93.47 %</w:t>
            </w:r>
          </w:p>
        </w:tc>
      </w:tr>
      <w:tr>
        <w:tc>
          <w:tcPr>
            <w:tcW w:type="dxa" w:w="188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RoBERTa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400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28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24</w:t>
            </w:r>
          </w:p>
        </w:tc>
        <w:tc>
          <w:tcPr>
            <w:tcW w:type="dxa" w:w="100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420</w:t>
            </w:r>
          </w:p>
        </w:tc>
        <w:tc>
          <w:tcPr>
            <w:tcW w:type="dxa" w:w="409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94.59 %</w:t>
            </w:r>
          </w:p>
        </w:tc>
      </w:tr>
    </w:tbl>
    <w:p>
      <w:pPr>
        <w:spacing w:after="0"/>
      </w:pPr>
    </w:p>
    <w:p>
      <w:r>
        <w:t>Las tres matrices corresponden a 428 opiniones negativas y 444 positivas. En DistilBERT se observan 47 falsos positivos y 31 falsos negativos. RoBERTa reduce ambas clases de error a 28 falsos positivos y 24 falsos negativos. Para una aplicación donde el costo del error tenga asimetría, ajustar los criterios a la clase crítica y realizar evaluación con datos del contexto final.</w:t>
      </w:r>
    </w:p>
    <w:p>
      <w:pPr>
        <w:pStyle w:val="Heading1"/>
      </w:pPr>
      <w:r>
        <w:t>8. Balance entre precisión, eficiencia y costo</w:t>
      </w:r>
    </w:p>
    <w:p>
      <w:r>
        <w:t>Frente a DistilBERT, RoBERTa incrementa el F1 macro en 2.99 puntos porcentuales, pero su p95 individual es 4.43 veces mayor y su VRAM pico es 1.71 veces la de DistilBERT. En procesamiento por lotes, DistilBERT entrega 609 textos/s y RoBERTa 335 textos/s.</w:t>
      </w:r>
    </w:p>
    <w:p>
      <w:r>
        <w:t>Costo económico: no se dispone de un precio por segundo de GPU ni de un patrón de uso de producción. El reporte utiliza un proxy técnico, no gasto en moneda: GPU-segundos / 1 000 textos bajo el throughput de la sesión. Los valores no incluyen descarga, carga de pesos ni costos fijos de infraestructura.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376"/>
        <w:gridCol w:w="2304"/>
        <w:gridCol w:w="3312"/>
      </w:tblGrid>
      <w:tr>
        <w:trPr>
          <w:tblHeader/>
        </w:trPr>
        <w:tc>
          <w:tcPr>
            <w:tcW w:type="dxa" w:w="2016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2376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Licencia en ficha</w:t>
            </w:r>
          </w:p>
        </w:tc>
        <w:tc>
          <w:tcPr>
            <w:tcW w:type="dxa" w:w="2304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GPU s / 1 000 textos</w:t>
            </w:r>
          </w:p>
        </w:tc>
        <w:tc>
          <w:tcPr>
            <w:tcW w:type="dxa" w:w="3312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Análisis de costo</w:t>
            </w:r>
          </w:p>
        </w:tc>
      </w:tr>
      <w:tr>
        <w:tc>
          <w:tcPr>
            <w:tcW w:type="dxa" w:w="201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DistilBERT</w:t>
            </w:r>
          </w:p>
        </w:tc>
        <w:tc>
          <w:tcPr>
            <w:tcW w:type="dxa" w:w="237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Apache-2.0 documentada</w:t>
            </w:r>
          </w:p>
        </w:tc>
        <w:tc>
          <w:tcPr>
            <w:tcW w:type="dxa" w:w="230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1.64</w:t>
            </w:r>
          </w:p>
        </w:tc>
        <w:tc>
          <w:tcPr>
            <w:tcW w:type="dxa" w:w="33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Menor costo técnico y menor VRAM.</w:t>
            </w:r>
          </w:p>
        </w:tc>
      </w:tr>
      <w:tr>
        <w:tc>
          <w:tcPr>
            <w:tcW w:type="dxa" w:w="2016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BERT TextAttack</w:t>
            </w:r>
          </w:p>
        </w:tc>
        <w:tc>
          <w:tcPr>
            <w:tcW w:type="dxa" w:w="2376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No declarada en ficha</w:t>
            </w:r>
          </w:p>
        </w:tc>
        <w:tc>
          <w:tcPr>
            <w:tcW w:type="dxa" w:w="230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4.32</w:t>
            </w:r>
          </w:p>
        </w:tc>
        <w:tc>
          <w:tcPr>
            <w:tcW w:type="dxa" w:w="331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Medición más lenta por lote de este trío.</w:t>
            </w:r>
          </w:p>
        </w:tc>
      </w:tr>
      <w:tr>
        <w:tc>
          <w:tcPr>
            <w:tcW w:type="dxa" w:w="201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RoBERTa TextAttack</w:t>
            </w:r>
          </w:p>
        </w:tc>
        <w:tc>
          <w:tcPr>
            <w:tcW w:type="dxa" w:w="2376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No declarada en ficha</w:t>
            </w:r>
          </w:p>
        </w:tc>
        <w:tc>
          <w:tcPr>
            <w:tcW w:type="dxa" w:w="230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2.99</w:t>
            </w:r>
          </w:p>
        </w:tc>
        <w:tc>
          <w:tcPr>
            <w:tcW w:type="dxa" w:w="33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7"/>
              </w:rPr>
              <w:t>Mejor F1, mayor memoria y p95.</w:t>
            </w:r>
          </w:p>
        </w:tc>
      </w:tr>
    </w:tbl>
    <w:p>
      <w:pPr>
        <w:spacing w:after="0"/>
      </w:pPr>
    </w:p>
    <w:p>
      <w:pPr>
        <w:pStyle w:val="Heading1"/>
      </w:pPr>
      <w:r>
        <w:t>9. Umbrales, ajustes mínimos y decisión</w:t>
      </w:r>
    </w:p>
    <w:p>
      <w:r>
        <w:t>Se mantuvieron los pesos originales sin reentrenamiento, usando únicamente truncamiento a 128 tokens, batch_size 32 y ejecución CUDA. No se adaptaron hiperparámetros ni umbrales usando el conjunto de validación para optimizar artificialmente el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3"/>
        <w:gridCol w:w="1714"/>
        <w:gridCol w:w="1757"/>
        <w:gridCol w:w="1685"/>
        <w:gridCol w:w="1800"/>
      </w:tblGrid>
      <w:tr>
        <w:trPr>
          <w:tblHeader/>
        </w:trPr>
        <w:tc>
          <w:tcPr>
            <w:tcW w:type="dxa" w:w="3053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Condición propuesta</w:t>
            </w:r>
          </w:p>
        </w:tc>
        <w:tc>
          <w:tcPr>
            <w:tcW w:type="dxa" w:w="1714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1757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DistilBERT</w:t>
            </w:r>
          </w:p>
        </w:tc>
        <w:tc>
          <w:tcPr>
            <w:tcW w:type="dxa" w:w="1685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BERT</w:t>
            </w:r>
          </w:p>
        </w:tc>
        <w:tc>
          <w:tcPr>
            <w:tcW w:type="dxa" w:w="1800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RoBERTa</w:t>
            </w:r>
          </w:p>
        </w:tc>
      </w:tr>
      <w:tr>
        <w:tc>
          <w:tcPr>
            <w:tcW w:type="dxa" w:w="305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Accuracy</w:t>
            </w:r>
          </w:p>
        </w:tc>
        <w:tc>
          <w:tcPr>
            <w:tcW w:type="dxa" w:w="171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≥ 89 %</w:t>
            </w:r>
          </w:p>
        </w:tc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</w:tr>
      <w:tr>
        <w:tc>
          <w:tcPr>
            <w:tcW w:type="dxa" w:w="305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F1 macro</w:t>
            </w:r>
          </w:p>
        </w:tc>
        <w:tc>
          <w:tcPr>
            <w:tcW w:type="dxa" w:w="171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≥ 89 %</w:t>
            </w:r>
          </w:p>
        </w:tc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685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</w:tr>
      <w:tr>
        <w:tc>
          <w:tcPr>
            <w:tcW w:type="dxa" w:w="305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Recall clase positiva</w:t>
            </w:r>
          </w:p>
        </w:tc>
        <w:tc>
          <w:tcPr>
            <w:tcW w:type="dxa" w:w="171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≥ 88 %</w:t>
            </w:r>
          </w:p>
        </w:tc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</w:tr>
      <w:tr>
        <w:tc>
          <w:tcPr>
            <w:tcW w:type="dxa" w:w="305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p95 individual</w:t>
            </w:r>
          </w:p>
        </w:tc>
        <w:tc>
          <w:tcPr>
            <w:tcW w:type="dxa" w:w="171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≤ 80 ms</w:t>
            </w:r>
          </w:p>
        </w:tc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685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</w:tr>
      <w:tr>
        <w:tc>
          <w:tcPr>
            <w:tcW w:type="dxa" w:w="305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VRAM pico</w:t>
            </w:r>
          </w:p>
        </w:tc>
        <w:tc>
          <w:tcPr>
            <w:tcW w:type="dxa" w:w="171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≤ 4 GiB</w:t>
            </w:r>
          </w:p>
        </w:tc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Pasa</w:t>
            </w:r>
          </w:p>
        </w:tc>
      </w:tr>
      <w:tr>
        <w:tc>
          <w:tcPr>
            <w:tcW w:type="dxa" w:w="3053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Licencia explícita</w:t>
            </w:r>
          </w:p>
        </w:tc>
        <w:tc>
          <w:tcPr>
            <w:tcW w:type="dxa" w:w="1714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Requerida</w:t>
            </w:r>
          </w:p>
        </w:tc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Sí</w:t>
            </w:r>
          </w:p>
        </w:tc>
        <w:tc>
          <w:tcPr>
            <w:tcW w:type="dxa" w:w="1685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Por verificar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Por verificar</w:t>
            </w:r>
          </w:p>
        </w:tc>
      </w:tr>
      <w:tr>
        <w:tc>
          <w:tcPr>
            <w:tcW w:type="dxa" w:w="3053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Elegibilidad global</w:t>
            </w:r>
          </w:p>
        </w:tc>
        <w:tc>
          <w:tcPr>
            <w:tcW w:type="dxa" w:w="1714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Todas las condiciones</w:t>
            </w:r>
          </w:p>
        </w:tc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Aprobado</w:t>
            </w:r>
          </w:p>
        </w:tc>
        <w:tc>
          <w:tcPr>
            <w:tcW w:type="dxa" w:w="1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No aprobado</w:t>
            </w:r>
          </w:p>
        </w:tc>
        <w:tc>
          <w:tcPr>
            <w:tcW w:type="dxa" w:w="1800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No aprobado</w:t>
            </w:r>
          </w:p>
        </w:tc>
      </w:tr>
    </w:tbl>
    <w:p>
      <w:pPr>
        <w:spacing w:after="0"/>
      </w:pPr>
    </w:p>
    <w:p>
      <w:r>
        <w:t>Regla aplicada: considerar únicamente candidatos cuya licencia de checkpoint esté documentada y que satisfagan todos los mínimos; entre elegibles, priorizar F1 macro y luego p95. Bajo esa política el selector automatizado devuelve DistilBERT. La ausencia de licencia declarada en una ficha no demuestra prohibición legal: se trata de un estado de verificación pendiente.</w:t>
      </w:r>
    </w:p>
    <w:p>
      <w:r>
        <w:t>Si posteriormente se aclaran las licencias de TextAttack, debe repetirse la decisión con los criterios del caso real; RoBERTa podría resultar preferible para objetivos que prioricen F1 por encima de latencia o memoria.</w:t>
      </w:r>
    </w:p>
    <w:p>
      <w:pPr>
        <w:pStyle w:val="Heading1"/>
      </w:pPr>
      <w:r>
        <w:t>10. Riesgos, validez externa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528"/>
        <w:gridCol w:w="4248"/>
      </w:tblGrid>
      <w:tr>
        <w:trPr>
          <w:tblHeader/>
        </w:trPr>
        <w:tc>
          <w:tcPr>
            <w:tcW w:type="dxa" w:w="2232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Riesgo / limitación</w:t>
            </w:r>
          </w:p>
        </w:tc>
        <w:tc>
          <w:tcPr>
            <w:tcW w:type="dxa" w:w="352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248"/>
            <w:shd w:fill="12375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Mitigación recomendada</w:t>
            </w:r>
          </w:p>
        </w:tc>
      </w:tr>
      <w:tr>
        <w:tc>
          <w:tcPr>
            <w:tcW w:type="dxa" w:w="223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Dominio e idioma</w:t>
            </w:r>
          </w:p>
        </w:tc>
        <w:tc>
          <w:tcPr>
            <w:tcW w:type="dxa" w:w="35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SST-2 no avala uso en español o en banca.</w:t>
            </w:r>
          </w:p>
        </w:tc>
        <w:tc>
          <w:tcPr>
            <w:tcW w:type="dxa" w:w="42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Validar en corpus representativo del uso objetivo.</w:t>
            </w:r>
          </w:p>
        </w:tc>
      </w:tr>
      <w:tr>
        <w:tc>
          <w:tcPr>
            <w:tcW w:type="dxa" w:w="223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Variabilidad temporal y GPU</w:t>
            </w:r>
          </w:p>
        </w:tc>
        <w:tc>
          <w:tcPr>
            <w:tcW w:type="dxa" w:w="352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Una sola medición Colab no valida SLA ni rango de latencia.</w:t>
            </w:r>
          </w:p>
        </w:tc>
        <w:tc>
          <w:tcPr>
            <w:tcW w:type="dxa" w:w="424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Replicar corridas en GPU final y reportar dispersión.</w:t>
            </w:r>
          </w:p>
        </w:tc>
      </w:tr>
      <w:tr>
        <w:tc>
          <w:tcPr>
            <w:tcW w:type="dxa" w:w="223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Etiquetas y confianza</w:t>
            </w:r>
          </w:p>
        </w:tc>
        <w:tc>
          <w:tcPr>
            <w:tcW w:type="dxa" w:w="35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Frases irónicas pueden fallar; scores no calibrados.</w:t>
            </w:r>
          </w:p>
        </w:tc>
        <w:tc>
          <w:tcPr>
            <w:tcW w:type="dxa" w:w="42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Muestreo de errores; calibración si se requieren scores.</w:t>
            </w:r>
          </w:p>
        </w:tc>
      </w:tr>
      <w:tr>
        <w:tc>
          <w:tcPr>
            <w:tcW w:type="dxa" w:w="223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Licencia de checkpoints TextAttack</w:t>
            </w:r>
          </w:p>
        </w:tc>
        <w:tc>
          <w:tcPr>
            <w:tcW w:type="dxa" w:w="352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No consta permiso de uso en la ficha.</w:t>
            </w:r>
          </w:p>
        </w:tc>
        <w:tc>
          <w:tcPr>
            <w:tcW w:type="dxa" w:w="424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Confirmar con autores/titulares antes de desplegar.</w:t>
            </w:r>
          </w:p>
        </w:tc>
      </w:tr>
      <w:tr>
        <w:tc>
          <w:tcPr>
            <w:tcW w:type="dxa" w:w="223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Derechos de redistribución de SST-2</w:t>
            </w:r>
          </w:p>
        </w:tc>
        <w:tc>
          <w:tcPr>
            <w:tcW w:type="dxa" w:w="35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Riesgo al subir textos originales a un repositorio público.</w:t>
            </w:r>
          </w:p>
        </w:tc>
        <w:tc>
          <w:tcPr>
            <w:tcW w:type="dxa" w:w="42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Usar referencias y descarga reproducible; revisar derechos.</w:t>
            </w:r>
          </w:p>
        </w:tc>
      </w:tr>
      <w:tr>
        <w:tc>
          <w:tcPr>
            <w:tcW w:type="dxa" w:w="2232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Privacidad</w:t>
            </w:r>
          </w:p>
        </w:tc>
        <w:tc>
          <w:tcPr>
            <w:tcW w:type="dxa" w:w="352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Textos reales pueden incluir datos personales.</w:t>
            </w:r>
          </w:p>
        </w:tc>
        <w:tc>
          <w:tcPr>
            <w:tcW w:type="dxa" w:w="4248"/>
            <w:tcMar>
              <w:top w:w="88" w:type="dxa"/>
              <w:start w:w="88" w:type="dxa"/>
              <w:bottom w:w="88" w:type="dxa"/>
              <w:end w:w="88" w:type="dxa"/>
            </w:tcMar>
            <w:shd w:fill="F4F8FB"/>
            <w:vAlign w:val="center"/>
          </w:tcPr>
          <w:p>
            <w:pPr>
              <w:spacing w:after="0" w:line="262" w:lineRule="auto"/>
            </w:pPr>
            <w:r>
              <w:rPr>
                <w:color w:val="152C48"/>
                <w:sz w:val="16"/>
              </w:rPr>
              <w:t>Anonimizar y autorizar uso antes de subir a terceros.</w:t>
            </w:r>
          </w:p>
        </w:tc>
      </w:tr>
    </w:tbl>
    <w:p>
      <w:pPr>
        <w:spacing w:after="0"/>
      </w:pPr>
    </w:p>
    <w:p>
      <w:pPr>
        <w:pStyle w:val="Heading1"/>
      </w:pPr>
      <w:r>
        <w:t>11. Reproducibilidad, validación y GitHub</w:t>
      </w:r>
    </w:p>
    <w:p>
      <w:r>
        <w:t>Evidencias conservadas en el paquete local: notebook en notebooks/, generadores y verificadores en src/, esquema de datos y CSV en data/, métricas CSV, predicciones, figuras y entorno JSON en results/, reporte en docs/, dependencias en requirements.txt y pruebas en tests/. .github/workflows/ci.yml contiene una base de validación continua.</w:t>
      </w:r>
    </w:p>
    <w:p>
      <w:r>
        <w:t>Comprobaciones realizadas tras recibir el ZIP: 872 filas con etiquetas binarias y hash SHA-256 correcto; 2 616 predicciones completas, exactamente 872 por checkpoint; correspondencia de IDs, textos y etiquetas; recomputación de accuracy, precision/recall/F1 macro y matrices de confusión; ejecución del selector (DistilBERT) y 3 pruebas unitarias correctas.</w:t>
      </w:r>
    </w:p>
    <w:p>
      <w:r>
        <w:t>Para reproducir: activar GPU T4 en Colab, abrir el notebook y ejecutar las celdas secuencialmente; conservar environment.json para recuperar los SHA de dataset y modelos. Para auditoría de archivos exportados, ejecutar python src/verify_results.py. Los modelos se descargan desde Hugging Face y sus pesos no se suben al repositorio.</w:t>
      </w:r>
    </w:p>
    <w:p>
      <w:r>
        <w:t>Estado de publicación: la carpeta está estructurada y empaquetada para GitHub, pero NO existe un repositorio remoto creado desde esta actividad. La publicación requiere realizar git init / git push desde una cuenta autorizada. Los archivos con texto original SST-2 se excluyen de nuevos commits de manera preventiva hasta revisar derechos de redistribución.</w:t>
      </w:r>
    </w:p>
    <w:p>
      <w:pPr>
        <w:pStyle w:val="Heading1"/>
      </w:pPr>
      <w:r>
        <w:t>12. Conclusión y selección final</w:t>
      </w:r>
    </w:p>
    <w:p>
      <w:r>
        <w:t>El objetivo de identificar y evaluar tres modelos preentrenados se cumplió para SST-2 en inglés con GPU Tesla T4. Las cuatro métricas se calcularon de forma homogénea y las 2 616 predicciones se verificaron posteriormente. RoBERTa alcanza la mayor calidad predictiva (F1 macro 94.03 %), mientras que DistilBERT muestra el mejor compromiso para el prototipo definido: F1 macro 91.04 %, p95 de 14.10 ms, pico de 322.86 MiB y licencia Apache-2.0 declarada.</w:t>
      </w:r>
    </w:p>
    <w:p>
      <w:r>
        <w:t>Se recomienda DistilBERT únicamente como primera selección técnica en este alcance académico. Para uso real, exigir validación por dominio, repetición de pruebas de latencia en la infraestructura final, verificación de licencias y revisión de riesgos de datos. Si se levantan las restricciones de licencia, recalcular la matriz de decisión, sin presumir que DistilBERT seguirá siendo el modelo óptimo.</w:t>
      </w:r>
    </w:p>
    <w:p>
      <w:pPr>
        <w:pStyle w:val="Heading1"/>
      </w:pPr>
      <w:r>
        <w:t>13. Fuentes y trazabilidad documental</w:t>
      </w:r>
    </w:p>
    <w:p>
      <w:pPr>
        <w:pStyle w:val="TableNote"/>
      </w:pPr>
      <w:r>
        <w:t>Dataset GLUE SST-2: https://huggingface.co/datasets/nyu-mll/glue</w:t>
      </w:r>
    </w:p>
    <w:p>
      <w:pPr>
        <w:pStyle w:val="TableNote"/>
      </w:pPr>
      <w:r>
        <w:t>Descripción alternativa SST-2: https://huggingface.co/datasets/stanfordnlp/sst2</w:t>
      </w:r>
    </w:p>
    <w:p>
      <w:pPr>
        <w:pStyle w:val="TableNote"/>
      </w:pPr>
      <w:r>
        <w:t>DistilBERT — checkpoint y licencia: https://huggingface.co/distilbert/distilbert-base-uncased-finetuned-sst-2-english</w:t>
      </w:r>
    </w:p>
    <w:p>
      <w:pPr>
        <w:pStyle w:val="TableNote"/>
      </w:pPr>
      <w:r>
        <w:t>BERT TextAttack — checkpoint: https://huggingface.co/textattack/bert-base-uncased-SST-2</w:t>
      </w:r>
    </w:p>
    <w:p>
      <w:pPr>
        <w:pStyle w:val="TableNote"/>
      </w:pPr>
      <w:r>
        <w:t>RoBERTa TextAttack — checkpoint: https://huggingface.co/textattack/roberta-base-SST-2</w:t>
      </w:r>
    </w:p>
    <w:p>
      <w:pPr>
        <w:pStyle w:val="TableNote"/>
      </w:pPr>
      <w:r>
        <w:t>Hugging Face Spaces: https://huggingface.co/spaces</w:t>
      </w:r>
    </w:p>
    <w:p>
      <w:pPr>
        <w:pStyle w:val="TableNote"/>
      </w:pPr>
      <w:r>
        <w:t>Datos empíricos: results/comparacion_modelos.csv, results/predicciones.csv, results/environment.json y manifiesto del dataset recibidos desde Google Colab. Referencias científicas: Wang et al. (2019), GLUE; Socher et al. (2013), Stanford Sentiment Treebank.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094" w:bottom="1051" w:left="1094" w:header="461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F7C"/>
        <w:sz w:val="16"/>
      </w:rPr>
      <w:t xml:space="preserve">NLP · Modelos preentrenados · Octubre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06F7C"/>
        <w:sz w:val="16"/>
      </w:rPr>
      <w:t>EVALUACIÓN EXPERIMENTAL  /  HUGGING FACE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color w:val="152C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69AC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69A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2C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Note">
    <w:name w:val="Table Note"/>
    <w:pPr>
      <w:spacing w:after="120"/>
    </w:pPr>
    <w:rPr>
      <w:rFonts w:ascii="Aptos" w:hAnsi="Aptos"/>
      <w:color w:val="606F7C"/>
      <w:sz w:val="16"/>
    </w:rPr>
  </w:style>
  <w:style w:type="paragraph" w:customStyle="1" w:styleId="FigureCaption">
    <w:name w:val="Figure Caption"/>
    <w:pPr>
      <w:spacing w:after="140"/>
    </w:pPr>
    <w:rPr>
      <w:rFonts w:ascii="Aptos" w:hAnsi="Aptos"/>
      <w:color w:val="606F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