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F221" w14:textId="6FF052E8" w:rsidR="00F45BD9" w:rsidRDefault="00F45BD9" w:rsidP="00F45043">
      <w:pPr>
        <w:pStyle w:val="Title"/>
        <w:jc w:val="both"/>
      </w:pPr>
      <w:r w:rsidRPr="00F45BD9">
        <w:t>Instructions</w:t>
      </w:r>
      <w:r>
        <w:t xml:space="preserve"> </w:t>
      </w:r>
      <w:r w:rsidR="00A15D2E">
        <w:t>for speciating</w:t>
      </w:r>
      <w:r>
        <w:t xml:space="preserve"> onroad emissions</w:t>
      </w:r>
    </w:p>
    <w:p w14:paraId="7D61EC8B" w14:textId="6BB99499" w:rsidR="00F45BD9" w:rsidRDefault="00F45BD9" w:rsidP="00F45BD9">
      <w:pPr>
        <w:pStyle w:val="Heading1"/>
      </w:pPr>
      <w:r w:rsidRPr="00F45BD9">
        <w:t>Introduction</w:t>
      </w:r>
    </w:p>
    <w:p w14:paraId="6C0945E9" w14:textId="77777777" w:rsidR="00633888" w:rsidRDefault="00633888" w:rsidP="00633888">
      <w:r w:rsidRPr="00C12F70">
        <w:t xml:space="preserve">This document provides instructions for using the post-processing script </w:t>
      </w:r>
      <w:r>
        <w:t>that</w:t>
      </w:r>
      <w:r w:rsidRPr="00C12F70">
        <w:t xml:space="preserve"> </w:t>
      </w:r>
      <w:r>
        <w:t>calculates speciation profile weights used to speciate</w:t>
      </w:r>
      <w:r w:rsidRPr="00C12F70">
        <w:t xml:space="preserve"> onroad residual total organic </w:t>
      </w:r>
      <w:r>
        <w:t>g</w:t>
      </w:r>
      <w:r w:rsidRPr="00C12F70">
        <w:t>ases</w:t>
      </w:r>
      <w:r>
        <w:t xml:space="preserve"> (NONHAPTOG)</w:t>
      </w:r>
      <w:r w:rsidRPr="00C12F70">
        <w:t xml:space="preserve">, </w:t>
      </w:r>
      <w:r>
        <w:t xml:space="preserve">total organic matter (TOM), and </w:t>
      </w:r>
      <w:r w:rsidRPr="00C12F70">
        <w:t>residual particulate matter</w:t>
      </w:r>
      <w:r>
        <w:t xml:space="preserve"> (nonSO4nonECnonOM)</w:t>
      </w:r>
      <w:r w:rsidRPr="00C12F70">
        <w:t xml:space="preserve"> </w:t>
      </w:r>
      <w:r>
        <w:t>for MOVES version 3.0.4 and later</w:t>
      </w:r>
      <w:r w:rsidRPr="00C12F70">
        <w:t xml:space="preserve">. This step is </w:t>
      </w:r>
      <w:r>
        <w:t>needed only in cases were the user needs to convert these emissions into chemical mechanism species for use in air quality models. This script is designed in particular for users interested in running SMOKE and includes SMOKE Source Classification Codes (SCC) in the output.</w:t>
      </w:r>
    </w:p>
    <w:p w14:paraId="3ACBE4C5" w14:textId="77777777" w:rsidR="00633888" w:rsidRDefault="00633888" w:rsidP="00633888">
      <w:r>
        <w:t>Speciation is the process of allocating organic aggregate species to chemical mechanism and/or real species.  This is done using speciation profiles hosted on EPA’s SPECIATE database.</w:t>
      </w:r>
      <w:r>
        <w:rPr>
          <w:rStyle w:val="EndnoteReference"/>
        </w:rPr>
        <w:endnoteReference w:id="1"/>
      </w:r>
      <w:r>
        <w:t xml:space="preserve"> For onroad, some gases and PM species are calculated by MOVES directly, often because MOVES applies adjustments for temperature and fuels that depend on vehicle technology. These pollutants are referred to as “integrated species” that contribute to both total organic gases (TOG) and particulate matter (PM</w:t>
      </w:r>
      <w:r w:rsidRPr="00F72C0B">
        <w:rPr>
          <w:vertAlign w:val="subscript"/>
        </w:rPr>
        <w:t>2</w:t>
      </w:r>
      <w:r>
        <w:rPr>
          <w:vertAlign w:val="subscript"/>
        </w:rPr>
        <w:t>.</w:t>
      </w:r>
      <w:r w:rsidRPr="00F72C0B">
        <w:rPr>
          <w:vertAlign w:val="subscript"/>
        </w:rPr>
        <w:t>5</w:t>
      </w:r>
      <w:r>
        <w:t xml:space="preserve">). The list of specific species is detailed in the technical report Speciation of Total organic Gas and Particulate Matter in MOVES3 (EPA-420-R-22-017).  </w:t>
      </w:r>
    </w:p>
    <w:p w14:paraId="3B142D69" w14:textId="77777777" w:rsidR="00633888" w:rsidRDefault="00633888" w:rsidP="00633888">
      <w:r>
        <w:t xml:space="preserve">The mass of TOG or PM left to be speciated after subtracting out integrated species is called residual TOG (NONHAPTOG) and residual PM (NonECNonSO4NonOM PM). PM organic matter can also be speciated by post-processing emissions with this script. </w:t>
      </w:r>
    </w:p>
    <w:p w14:paraId="101EF8CD" w14:textId="4411C208" w:rsidR="00633888" w:rsidRDefault="00633888" w:rsidP="00633888">
      <w:r>
        <w:t>Speciation profiles are assigned to specific onroad sources depending on fuel type, fuel subtype, model year, regulatory class and emission process. The mapping of each of these parameters to SPECIATE profiles is detailed in the rocSpeciation table of the MOVES default database. The post-processing script uses this table to assign speciation profiles to each Source Classification Code (SCC). In some cases, a given SCC is assigned more than one speciation profile because SCC</w:t>
      </w:r>
      <w:r w:rsidR="0009186F">
        <w:t>s</w:t>
      </w:r>
      <w:r>
        <w:t xml:space="preserve"> are defined at the source type level, whereas speciation profiles are also defined by model year and fuel subtype. In this case, the “profileContribution” field describes the fraction of the SCC emissions associated with the listed profile.</w:t>
      </w:r>
      <w:r w:rsidR="006F33CE">
        <w:t xml:space="preserve"> </w:t>
      </w:r>
      <w:r>
        <w:t xml:space="preserve">The profileContributions sum to one for each SCC. </w:t>
      </w:r>
      <w:r w:rsidR="0009186F">
        <w:t>A profileContribution of one indicates that the SCC is represented by a single profile.</w:t>
      </w:r>
    </w:p>
    <w:p w14:paraId="0F3B9A48" w14:textId="6E30D0AF" w:rsidR="00633888" w:rsidRDefault="00633888" w:rsidP="00633888">
      <w:r>
        <w:t>The script also provides a ratio that can be used to calculate Condensable and Gaseous Reactive Organic Carbon (CROC and GROC, respectively) to support speciation using the new ROC framework.</w:t>
      </w:r>
      <w:r>
        <w:rPr>
          <w:rStyle w:val="EndnoteReference"/>
        </w:rPr>
        <w:endnoteReference w:id="2"/>
      </w:r>
      <w:r w:rsidR="006F33CE">
        <w:t xml:space="preserve"> </w:t>
      </w:r>
      <w:r>
        <w:t xml:space="preserve">Finally, the script also handles the conversion from MOVES SCC output into SMOKE SCC format. </w:t>
      </w:r>
    </w:p>
    <w:p w14:paraId="498697DC" w14:textId="3D91E80C" w:rsidR="00F45BD9" w:rsidRDefault="009A5E37" w:rsidP="009A5E37">
      <w:pPr>
        <w:pStyle w:val="Heading1"/>
        <w:rPr>
          <w:sz w:val="22"/>
          <w:szCs w:val="22"/>
        </w:rPr>
      </w:pPr>
      <w:r>
        <w:t xml:space="preserve">Instructions </w:t>
      </w:r>
      <w:r w:rsidR="00C12F70" w:rsidRPr="00C12F70">
        <w:rPr>
          <w:sz w:val="22"/>
          <w:szCs w:val="22"/>
        </w:rPr>
        <w:t xml:space="preserve">  </w:t>
      </w:r>
    </w:p>
    <w:p w14:paraId="5EC02D19" w14:textId="77777777" w:rsidR="006F33CE" w:rsidRDefault="006F33CE" w:rsidP="006F33CE">
      <w:r>
        <w:t xml:space="preserve">The speciation script can be run from the Tools section of the MOVES GUI, once users have completed the required MOVES runs. For the post-processing script to run, the following conditions need to be met: </w:t>
      </w:r>
    </w:p>
    <w:p w14:paraId="0D8EF84B" w14:textId="77777777" w:rsidR="006F33CE" w:rsidRDefault="006F33CE" w:rsidP="006F33CE">
      <w:pPr>
        <w:pStyle w:val="ListParagraph"/>
        <w:numPr>
          <w:ilvl w:val="0"/>
          <w:numId w:val="9"/>
        </w:numPr>
      </w:pPr>
      <w:r>
        <w:t>The MOVES run output must have the relevant pollutants to be speciated (NONHAPTOG, nonSO4nonECnonOM, and TOM) selected via the Pollutants and Processes panel, along with all prerequisites.</w:t>
      </w:r>
    </w:p>
    <w:p w14:paraId="40D8116A" w14:textId="77777777" w:rsidR="006F33CE" w:rsidRDefault="006F33CE" w:rsidP="006F33CE">
      <w:pPr>
        <w:pStyle w:val="ListParagraph"/>
        <w:numPr>
          <w:ilvl w:val="0"/>
          <w:numId w:val="9"/>
        </w:numPr>
      </w:pPr>
      <w:r>
        <w:lastRenderedPageBreak/>
        <w:t xml:space="preserve">The MOVES runs must have the following boxes checked in the Output Emissions Detail Panel of the GUI: SCC, source type, fuel type, model year, emission process, regulatory class and road type. </w:t>
      </w:r>
    </w:p>
    <w:p w14:paraId="3C20E3E1" w14:textId="77777777" w:rsidR="006F33CE" w:rsidRDefault="006F33CE" w:rsidP="006F33CE">
      <w:pPr>
        <w:pStyle w:val="ListParagraph"/>
        <w:numPr>
          <w:ilvl w:val="0"/>
          <w:numId w:val="9"/>
        </w:numPr>
      </w:pPr>
      <w:r>
        <w:t>The MOVES output database containing emissions to be speciated may contain multiple MOVES runs but must only contain output for a single calendar year and single county.</w:t>
      </w:r>
    </w:p>
    <w:p w14:paraId="540B63B3" w14:textId="2A3360AB" w:rsidR="00201F8D" w:rsidRDefault="00201F8D" w:rsidP="00201F8D">
      <w:r>
        <w:t>The output of the script is a series of tables that list the fraction of residual TOG, residual PM, and TOM emissions that should be speciated with the given profile, as well as the CROC and GROC ratios, saved into the database specified by the user.</w:t>
      </w:r>
    </w:p>
    <w:p w14:paraId="3B42CDBD" w14:textId="77777777" w:rsidR="00CA168D" w:rsidRPr="00B727C2" w:rsidRDefault="00CA168D" w:rsidP="00CA168D">
      <w:pPr>
        <w:pStyle w:val="Heading2"/>
      </w:pPr>
      <w:r w:rsidRPr="00B727C2">
        <w:t xml:space="preserve">Steps </w:t>
      </w:r>
      <w:r>
        <w:t>to run the Onroad Speciation Profile Weighting Script</w:t>
      </w:r>
    </w:p>
    <w:p w14:paraId="0CDB9C23" w14:textId="77777777" w:rsidR="00CA168D" w:rsidRDefault="00CA168D" w:rsidP="00CA168D">
      <w:pPr>
        <w:pStyle w:val="ListParagraph"/>
        <w:numPr>
          <w:ilvl w:val="0"/>
          <w:numId w:val="10"/>
        </w:numPr>
        <w:spacing w:after="0"/>
        <w:ind w:left="720"/>
        <w:rPr>
          <w:rFonts w:cstheme="minorHAnsi"/>
        </w:rPr>
      </w:pPr>
      <w:r>
        <w:rPr>
          <w:rFonts w:cstheme="minorHAnsi"/>
        </w:rPr>
        <w:t>Open MOVES and perform the MOVES runs that will generate the output to be speciated, following the instructions above to make sure the appropriate emissions detail is available in the output database.</w:t>
      </w:r>
    </w:p>
    <w:p w14:paraId="6001A156" w14:textId="77777777" w:rsidR="00CA168D" w:rsidRDefault="00CA168D" w:rsidP="00CA168D">
      <w:pPr>
        <w:pStyle w:val="ListParagraph"/>
        <w:numPr>
          <w:ilvl w:val="0"/>
          <w:numId w:val="10"/>
        </w:numPr>
        <w:spacing w:after="0"/>
        <w:ind w:left="720"/>
        <w:rPr>
          <w:rFonts w:cstheme="minorHAnsi"/>
        </w:rPr>
      </w:pPr>
      <w:r>
        <w:rPr>
          <w:rFonts w:cstheme="minorHAnsi"/>
        </w:rPr>
        <w:t>Open the Onroad Speciation Profile Weighting Script from the MOVES Tools menu.</w:t>
      </w:r>
    </w:p>
    <w:p w14:paraId="39974A0B" w14:textId="77777777" w:rsidR="00CA168D" w:rsidRDefault="00CA168D" w:rsidP="00CA168D">
      <w:pPr>
        <w:pStyle w:val="ListParagraph"/>
        <w:numPr>
          <w:ilvl w:val="0"/>
          <w:numId w:val="10"/>
        </w:numPr>
        <w:spacing w:after="0"/>
        <w:ind w:left="720"/>
        <w:rPr>
          <w:rFonts w:cstheme="minorHAnsi"/>
        </w:rPr>
      </w:pPr>
      <w:r>
        <w:rPr>
          <w:rFonts w:cstheme="minorHAnsi"/>
        </w:rPr>
        <w:t>Select the MOVES output database from Step 1 in the Output Database dropdown menu.</w:t>
      </w:r>
    </w:p>
    <w:p w14:paraId="7C004DC0" w14:textId="77777777" w:rsidR="00CA168D" w:rsidRDefault="00CA168D" w:rsidP="00CA168D">
      <w:pPr>
        <w:pStyle w:val="ListParagraph"/>
        <w:numPr>
          <w:ilvl w:val="0"/>
          <w:numId w:val="10"/>
        </w:numPr>
        <w:spacing w:after="0"/>
        <w:ind w:left="720"/>
        <w:rPr>
          <w:rFonts w:cstheme="minorHAnsi"/>
        </w:rPr>
      </w:pPr>
      <w:r>
        <w:rPr>
          <w:rFonts w:cstheme="minorHAnsi"/>
        </w:rPr>
        <w:t>Select the desired database to hold the script output. An existing database can be used or a new one can be specified, depending on user preference.</w:t>
      </w:r>
    </w:p>
    <w:p w14:paraId="32B3C313" w14:textId="77777777" w:rsidR="00CA168D" w:rsidRPr="00BC0DD4" w:rsidRDefault="00CA168D" w:rsidP="00CA168D">
      <w:pPr>
        <w:pStyle w:val="ListParagraph"/>
        <w:numPr>
          <w:ilvl w:val="0"/>
          <w:numId w:val="10"/>
        </w:numPr>
        <w:spacing w:after="0"/>
        <w:ind w:left="720"/>
        <w:rPr>
          <w:rFonts w:cstheme="minorHAnsi"/>
        </w:rPr>
      </w:pPr>
      <w:r>
        <w:rPr>
          <w:rFonts w:cstheme="minorHAnsi"/>
        </w:rPr>
        <w:t xml:space="preserve">Click “Run Profile Weighting Script”. Depending on the nature of the run, it may take a couple minutes to complete. </w:t>
      </w:r>
    </w:p>
    <w:p w14:paraId="6AE310B0" w14:textId="77777777" w:rsidR="009D0720" w:rsidRDefault="009D0720" w:rsidP="00CF42FE">
      <w:pPr>
        <w:pStyle w:val="Heading1"/>
      </w:pPr>
      <w:r>
        <w:t>Script Output</w:t>
      </w:r>
    </w:p>
    <w:p w14:paraId="24040F40" w14:textId="77777777" w:rsidR="009D0720" w:rsidRDefault="009D0720" w:rsidP="00CF42FE">
      <w:r>
        <w:t xml:space="preserve">The script output writes four tables for NONHAPTOG speciated emissions output: exhaust (exh_groc), evaporative (evp_groc), evaporative permeation (epm_groc), and refueling (rfl_groc). For speciation of total organic matter (which is used to calculate CROC) or residual PM, the SQL output database contains a single table for exhaust emissions (exh_croc or exh_residpm). The SQL output database also contains an ancillary table that describes the mapping between MOVES emission processes and SMOKE processes. </w:t>
      </w:r>
    </w:p>
    <w:p w14:paraId="4AC9BF86" w14:textId="77777777" w:rsidR="009D0720" w:rsidRDefault="009D0720" w:rsidP="009D0720">
      <w:r>
        <w:t>Each table follows the same general schema:</w:t>
      </w:r>
    </w:p>
    <w:tbl>
      <w:tblPr>
        <w:tblStyle w:val="TableGrid"/>
        <w:tblW w:w="0" w:type="auto"/>
        <w:tblLook w:val="04A0" w:firstRow="1" w:lastRow="0" w:firstColumn="1" w:lastColumn="0" w:noHBand="0" w:noVBand="1"/>
      </w:tblPr>
      <w:tblGrid>
        <w:gridCol w:w="2736"/>
        <w:gridCol w:w="1304"/>
        <w:gridCol w:w="629"/>
        <w:gridCol w:w="552"/>
        <w:gridCol w:w="4129"/>
      </w:tblGrid>
      <w:tr w:rsidR="00BC0DD4" w:rsidRPr="00BC0DD4" w14:paraId="2E5DBB02" w14:textId="77777777" w:rsidTr="00BC0DD4">
        <w:trPr>
          <w:trHeight w:val="288"/>
        </w:trPr>
        <w:tc>
          <w:tcPr>
            <w:tcW w:w="2739" w:type="dxa"/>
            <w:noWrap/>
            <w:hideMark/>
          </w:tcPr>
          <w:p w14:paraId="469F5A44" w14:textId="77777777" w:rsidR="00BC0DD4" w:rsidRPr="00BC0DD4" w:rsidRDefault="00BC0DD4" w:rsidP="00BC0DD4">
            <w:pPr>
              <w:rPr>
                <w:b/>
                <w:bCs/>
              </w:rPr>
            </w:pPr>
            <w:r w:rsidRPr="00BC0DD4">
              <w:rPr>
                <w:b/>
                <w:bCs/>
              </w:rPr>
              <w:t>Field</w:t>
            </w:r>
          </w:p>
        </w:tc>
        <w:tc>
          <w:tcPr>
            <w:tcW w:w="1306" w:type="dxa"/>
            <w:noWrap/>
            <w:hideMark/>
          </w:tcPr>
          <w:p w14:paraId="6A56B3C6" w14:textId="77777777" w:rsidR="00BC0DD4" w:rsidRPr="00BC0DD4" w:rsidRDefault="00BC0DD4" w:rsidP="00BC0DD4">
            <w:pPr>
              <w:rPr>
                <w:b/>
                <w:bCs/>
              </w:rPr>
            </w:pPr>
            <w:r w:rsidRPr="00BC0DD4">
              <w:rPr>
                <w:b/>
                <w:bCs/>
              </w:rPr>
              <w:t>Type</w:t>
            </w:r>
          </w:p>
        </w:tc>
        <w:tc>
          <w:tcPr>
            <w:tcW w:w="630" w:type="dxa"/>
            <w:noWrap/>
            <w:hideMark/>
          </w:tcPr>
          <w:p w14:paraId="1B3BA14D" w14:textId="77777777" w:rsidR="00BC0DD4" w:rsidRPr="00BC0DD4" w:rsidRDefault="00BC0DD4" w:rsidP="00BC0DD4">
            <w:pPr>
              <w:rPr>
                <w:b/>
                <w:bCs/>
              </w:rPr>
            </w:pPr>
            <w:r w:rsidRPr="00BC0DD4">
              <w:rPr>
                <w:b/>
                <w:bCs/>
              </w:rPr>
              <w:t>Null</w:t>
            </w:r>
          </w:p>
        </w:tc>
        <w:tc>
          <w:tcPr>
            <w:tcW w:w="540" w:type="dxa"/>
            <w:noWrap/>
            <w:hideMark/>
          </w:tcPr>
          <w:p w14:paraId="59A7CFCD" w14:textId="77777777" w:rsidR="00BC0DD4" w:rsidRPr="00BC0DD4" w:rsidRDefault="00BC0DD4" w:rsidP="00BC0DD4">
            <w:pPr>
              <w:rPr>
                <w:b/>
                <w:bCs/>
              </w:rPr>
            </w:pPr>
            <w:r w:rsidRPr="00BC0DD4">
              <w:rPr>
                <w:b/>
                <w:bCs/>
              </w:rPr>
              <w:t>Key</w:t>
            </w:r>
          </w:p>
        </w:tc>
        <w:tc>
          <w:tcPr>
            <w:tcW w:w="4135" w:type="dxa"/>
            <w:noWrap/>
            <w:hideMark/>
          </w:tcPr>
          <w:p w14:paraId="15DBDA98" w14:textId="77777777" w:rsidR="00BC0DD4" w:rsidRPr="00BC0DD4" w:rsidRDefault="00BC0DD4" w:rsidP="00BC0DD4">
            <w:pPr>
              <w:rPr>
                <w:b/>
                <w:bCs/>
              </w:rPr>
            </w:pPr>
            <w:r w:rsidRPr="00BC0DD4">
              <w:rPr>
                <w:b/>
                <w:bCs/>
              </w:rPr>
              <w:t>Comment</w:t>
            </w:r>
          </w:p>
        </w:tc>
      </w:tr>
      <w:tr w:rsidR="00BC0DD4" w:rsidRPr="00BC0DD4" w14:paraId="22854D06" w14:textId="77777777" w:rsidTr="00BC0DD4">
        <w:trPr>
          <w:trHeight w:val="288"/>
        </w:trPr>
        <w:tc>
          <w:tcPr>
            <w:tcW w:w="2739" w:type="dxa"/>
            <w:noWrap/>
            <w:hideMark/>
          </w:tcPr>
          <w:p w14:paraId="5CDC01A2" w14:textId="77777777" w:rsidR="00BC0DD4" w:rsidRPr="00BC0DD4" w:rsidRDefault="00BC0DD4">
            <w:r w:rsidRPr="00BC0DD4">
              <w:t>monthID</w:t>
            </w:r>
          </w:p>
        </w:tc>
        <w:tc>
          <w:tcPr>
            <w:tcW w:w="1306" w:type="dxa"/>
            <w:noWrap/>
            <w:hideMark/>
          </w:tcPr>
          <w:p w14:paraId="7F378FBF" w14:textId="77777777" w:rsidR="00BC0DD4" w:rsidRPr="00BC0DD4" w:rsidRDefault="00BC0DD4">
            <w:r w:rsidRPr="00BC0DD4">
              <w:t>smallint(6)</w:t>
            </w:r>
          </w:p>
        </w:tc>
        <w:tc>
          <w:tcPr>
            <w:tcW w:w="630" w:type="dxa"/>
            <w:noWrap/>
            <w:hideMark/>
          </w:tcPr>
          <w:p w14:paraId="119281CF" w14:textId="77777777" w:rsidR="00BC0DD4" w:rsidRPr="00BC0DD4" w:rsidRDefault="00BC0DD4">
            <w:r w:rsidRPr="00BC0DD4">
              <w:t>NO</w:t>
            </w:r>
          </w:p>
        </w:tc>
        <w:tc>
          <w:tcPr>
            <w:tcW w:w="540" w:type="dxa"/>
            <w:noWrap/>
            <w:hideMark/>
          </w:tcPr>
          <w:p w14:paraId="3C8A9992" w14:textId="77777777" w:rsidR="00BC0DD4" w:rsidRPr="00BC0DD4" w:rsidRDefault="00BC0DD4">
            <w:r w:rsidRPr="00BC0DD4">
              <w:t>PRI</w:t>
            </w:r>
          </w:p>
        </w:tc>
        <w:tc>
          <w:tcPr>
            <w:tcW w:w="4135" w:type="dxa"/>
            <w:noWrap/>
            <w:hideMark/>
          </w:tcPr>
          <w:p w14:paraId="2C3258CC" w14:textId="77777777" w:rsidR="00BC0DD4" w:rsidRPr="00BC0DD4" w:rsidRDefault="00BC0DD4"/>
        </w:tc>
      </w:tr>
      <w:tr w:rsidR="00BC0DD4" w:rsidRPr="00BC0DD4" w14:paraId="501345CE" w14:textId="77777777" w:rsidTr="00BC0DD4">
        <w:trPr>
          <w:trHeight w:val="288"/>
        </w:trPr>
        <w:tc>
          <w:tcPr>
            <w:tcW w:w="2739" w:type="dxa"/>
            <w:noWrap/>
            <w:hideMark/>
          </w:tcPr>
          <w:p w14:paraId="6EE89A85" w14:textId="77777777" w:rsidR="00BC0DD4" w:rsidRPr="00BC0DD4" w:rsidRDefault="00BC0DD4">
            <w:r w:rsidRPr="00BC0DD4">
              <w:t>SMOKE_SCC</w:t>
            </w:r>
          </w:p>
        </w:tc>
        <w:tc>
          <w:tcPr>
            <w:tcW w:w="1306" w:type="dxa"/>
            <w:noWrap/>
            <w:hideMark/>
          </w:tcPr>
          <w:p w14:paraId="6C7CDB1F" w14:textId="77777777" w:rsidR="00BC0DD4" w:rsidRPr="00BC0DD4" w:rsidRDefault="00BC0DD4">
            <w:r w:rsidRPr="00BC0DD4">
              <w:t>varchar(10)</w:t>
            </w:r>
          </w:p>
        </w:tc>
        <w:tc>
          <w:tcPr>
            <w:tcW w:w="630" w:type="dxa"/>
            <w:noWrap/>
            <w:hideMark/>
          </w:tcPr>
          <w:p w14:paraId="0CEF2961" w14:textId="77777777" w:rsidR="00BC0DD4" w:rsidRPr="00BC0DD4" w:rsidRDefault="00BC0DD4">
            <w:r w:rsidRPr="00BC0DD4">
              <w:t>NO</w:t>
            </w:r>
          </w:p>
        </w:tc>
        <w:tc>
          <w:tcPr>
            <w:tcW w:w="540" w:type="dxa"/>
            <w:noWrap/>
            <w:hideMark/>
          </w:tcPr>
          <w:p w14:paraId="4E131E1E" w14:textId="77777777" w:rsidR="00BC0DD4" w:rsidRPr="00BC0DD4" w:rsidRDefault="00BC0DD4">
            <w:r w:rsidRPr="00BC0DD4">
              <w:t>PRI</w:t>
            </w:r>
          </w:p>
        </w:tc>
        <w:tc>
          <w:tcPr>
            <w:tcW w:w="4135" w:type="dxa"/>
            <w:noWrap/>
            <w:hideMark/>
          </w:tcPr>
          <w:p w14:paraId="4E77415C" w14:textId="19D5C783" w:rsidR="00BC0DD4" w:rsidRPr="00BC0DD4" w:rsidRDefault="00BC0DD4">
            <w:r w:rsidRPr="00BC0DD4">
              <w:t>The SMOKE Source Classification Code for the emissions, which is the combination of source type, fuel type, road type, and process. The mapping of MOVES process to SMOKE process can be found in the smoke_moves_mapping table</w:t>
            </w:r>
            <w:r w:rsidR="00202689">
              <w:t xml:space="preserve"> in the new database</w:t>
            </w:r>
            <w:r w:rsidRPr="00BC0DD4">
              <w:t>.</w:t>
            </w:r>
          </w:p>
        </w:tc>
      </w:tr>
      <w:tr w:rsidR="00BC0DD4" w:rsidRPr="00BC0DD4" w14:paraId="7CB957DA" w14:textId="77777777" w:rsidTr="00BC0DD4">
        <w:trPr>
          <w:trHeight w:val="288"/>
        </w:trPr>
        <w:tc>
          <w:tcPr>
            <w:tcW w:w="2739" w:type="dxa"/>
            <w:noWrap/>
            <w:hideMark/>
          </w:tcPr>
          <w:p w14:paraId="0E69D272" w14:textId="1636ECFA" w:rsidR="00BC0DD4" w:rsidRPr="00BC0DD4" w:rsidRDefault="00BC0DD4">
            <w:r w:rsidRPr="00BC0DD4">
              <w:t>pmSpeciationProfileID</w:t>
            </w:r>
            <w:r>
              <w:t xml:space="preserve"> </w:t>
            </w:r>
            <w:r w:rsidRPr="00BC0DD4">
              <w:t>/</w:t>
            </w:r>
            <w:r>
              <w:t xml:space="preserve"> </w:t>
            </w:r>
            <w:r w:rsidRPr="00BC0DD4">
              <w:t>togSpeciationProfileID</w:t>
            </w:r>
          </w:p>
        </w:tc>
        <w:tc>
          <w:tcPr>
            <w:tcW w:w="1306" w:type="dxa"/>
            <w:noWrap/>
            <w:hideMark/>
          </w:tcPr>
          <w:p w14:paraId="0CBB1464" w14:textId="77777777" w:rsidR="00BC0DD4" w:rsidRPr="00BC0DD4" w:rsidRDefault="00BC0DD4">
            <w:r w:rsidRPr="00BC0DD4">
              <w:t>varchar(10)</w:t>
            </w:r>
          </w:p>
        </w:tc>
        <w:tc>
          <w:tcPr>
            <w:tcW w:w="630" w:type="dxa"/>
            <w:noWrap/>
            <w:hideMark/>
          </w:tcPr>
          <w:p w14:paraId="000A03EB" w14:textId="77777777" w:rsidR="00BC0DD4" w:rsidRPr="00BC0DD4" w:rsidRDefault="00BC0DD4">
            <w:r w:rsidRPr="00BC0DD4">
              <w:t>NO</w:t>
            </w:r>
          </w:p>
        </w:tc>
        <w:tc>
          <w:tcPr>
            <w:tcW w:w="540" w:type="dxa"/>
            <w:noWrap/>
            <w:hideMark/>
          </w:tcPr>
          <w:p w14:paraId="1B44FBB5" w14:textId="77777777" w:rsidR="00BC0DD4" w:rsidRPr="00BC0DD4" w:rsidRDefault="00BC0DD4">
            <w:r w:rsidRPr="00BC0DD4">
              <w:t>PRI</w:t>
            </w:r>
          </w:p>
        </w:tc>
        <w:tc>
          <w:tcPr>
            <w:tcW w:w="4135" w:type="dxa"/>
            <w:noWrap/>
            <w:hideMark/>
          </w:tcPr>
          <w:p w14:paraId="4078FE1C" w14:textId="77777777" w:rsidR="00BC0DD4" w:rsidRPr="00BC0DD4" w:rsidRDefault="00BC0DD4"/>
        </w:tc>
      </w:tr>
      <w:tr w:rsidR="00BC0DD4" w:rsidRPr="00BC0DD4" w14:paraId="5E02C0AE" w14:textId="77777777" w:rsidTr="00BC0DD4">
        <w:trPr>
          <w:trHeight w:val="288"/>
        </w:trPr>
        <w:tc>
          <w:tcPr>
            <w:tcW w:w="2739" w:type="dxa"/>
            <w:noWrap/>
            <w:hideMark/>
          </w:tcPr>
          <w:p w14:paraId="6D6C44AC" w14:textId="77777777" w:rsidR="00BC0DD4" w:rsidRPr="00BC0DD4" w:rsidRDefault="00BC0DD4">
            <w:r w:rsidRPr="00BC0DD4">
              <w:t>pollutantID</w:t>
            </w:r>
          </w:p>
        </w:tc>
        <w:tc>
          <w:tcPr>
            <w:tcW w:w="1306" w:type="dxa"/>
            <w:noWrap/>
            <w:hideMark/>
          </w:tcPr>
          <w:p w14:paraId="6D936BB3" w14:textId="77777777" w:rsidR="00BC0DD4" w:rsidRPr="00BC0DD4" w:rsidRDefault="00BC0DD4">
            <w:r w:rsidRPr="00BC0DD4">
              <w:t>smallint(6)</w:t>
            </w:r>
          </w:p>
        </w:tc>
        <w:tc>
          <w:tcPr>
            <w:tcW w:w="630" w:type="dxa"/>
            <w:noWrap/>
            <w:hideMark/>
          </w:tcPr>
          <w:p w14:paraId="4B979D8D" w14:textId="77777777" w:rsidR="00BC0DD4" w:rsidRPr="00BC0DD4" w:rsidRDefault="00BC0DD4">
            <w:r w:rsidRPr="00BC0DD4">
              <w:t>NO</w:t>
            </w:r>
          </w:p>
        </w:tc>
        <w:tc>
          <w:tcPr>
            <w:tcW w:w="540" w:type="dxa"/>
            <w:noWrap/>
            <w:hideMark/>
          </w:tcPr>
          <w:p w14:paraId="1283F6E1" w14:textId="77777777" w:rsidR="00BC0DD4" w:rsidRPr="00BC0DD4" w:rsidRDefault="00BC0DD4">
            <w:r w:rsidRPr="00BC0DD4">
              <w:t>PRI</w:t>
            </w:r>
          </w:p>
        </w:tc>
        <w:tc>
          <w:tcPr>
            <w:tcW w:w="4135" w:type="dxa"/>
            <w:noWrap/>
            <w:hideMark/>
          </w:tcPr>
          <w:p w14:paraId="6BA2C23E" w14:textId="77777777" w:rsidR="00BC0DD4" w:rsidRPr="00BC0DD4" w:rsidRDefault="00BC0DD4"/>
        </w:tc>
      </w:tr>
      <w:tr w:rsidR="00BC0DD4" w:rsidRPr="00BC0DD4" w14:paraId="589CD8CA" w14:textId="77777777" w:rsidTr="00BC0DD4">
        <w:trPr>
          <w:trHeight w:val="288"/>
        </w:trPr>
        <w:tc>
          <w:tcPr>
            <w:tcW w:w="2739" w:type="dxa"/>
            <w:noWrap/>
            <w:hideMark/>
          </w:tcPr>
          <w:p w14:paraId="2AA6AC4D" w14:textId="77777777" w:rsidR="00BC0DD4" w:rsidRPr="00BC0DD4" w:rsidRDefault="00BC0DD4">
            <w:r w:rsidRPr="00BC0DD4">
              <w:t>pollutantName</w:t>
            </w:r>
          </w:p>
        </w:tc>
        <w:tc>
          <w:tcPr>
            <w:tcW w:w="1306" w:type="dxa"/>
            <w:noWrap/>
            <w:hideMark/>
          </w:tcPr>
          <w:p w14:paraId="572CDEB0" w14:textId="77777777" w:rsidR="00BC0DD4" w:rsidRPr="00BC0DD4" w:rsidRDefault="00BC0DD4">
            <w:r w:rsidRPr="00BC0DD4">
              <w:t>varchar(50)</w:t>
            </w:r>
          </w:p>
        </w:tc>
        <w:tc>
          <w:tcPr>
            <w:tcW w:w="630" w:type="dxa"/>
            <w:noWrap/>
            <w:hideMark/>
          </w:tcPr>
          <w:p w14:paraId="6F67E22C" w14:textId="77777777" w:rsidR="00BC0DD4" w:rsidRPr="00BC0DD4" w:rsidRDefault="00BC0DD4">
            <w:r w:rsidRPr="00BC0DD4">
              <w:t>NO</w:t>
            </w:r>
          </w:p>
        </w:tc>
        <w:tc>
          <w:tcPr>
            <w:tcW w:w="540" w:type="dxa"/>
            <w:noWrap/>
            <w:hideMark/>
          </w:tcPr>
          <w:p w14:paraId="7F5CA2D3" w14:textId="77777777" w:rsidR="00BC0DD4" w:rsidRPr="00BC0DD4" w:rsidRDefault="00BC0DD4">
            <w:r w:rsidRPr="00BC0DD4">
              <w:t>PRI</w:t>
            </w:r>
          </w:p>
        </w:tc>
        <w:tc>
          <w:tcPr>
            <w:tcW w:w="4135" w:type="dxa"/>
            <w:noWrap/>
            <w:hideMark/>
          </w:tcPr>
          <w:p w14:paraId="1FDF67C6" w14:textId="77777777" w:rsidR="00BC0DD4" w:rsidRPr="00BC0DD4" w:rsidRDefault="00BC0DD4"/>
        </w:tc>
      </w:tr>
      <w:tr w:rsidR="00BC0DD4" w:rsidRPr="00BC0DD4" w14:paraId="0F2F6A10" w14:textId="77777777" w:rsidTr="00BC0DD4">
        <w:trPr>
          <w:trHeight w:val="288"/>
        </w:trPr>
        <w:tc>
          <w:tcPr>
            <w:tcW w:w="2739" w:type="dxa"/>
            <w:noWrap/>
            <w:hideMark/>
          </w:tcPr>
          <w:p w14:paraId="1435B0A0" w14:textId="77777777" w:rsidR="00BC0DD4" w:rsidRPr="00BC0DD4" w:rsidRDefault="00BC0DD4">
            <w:r w:rsidRPr="00BC0DD4">
              <w:t>SMOKE_mode</w:t>
            </w:r>
          </w:p>
        </w:tc>
        <w:tc>
          <w:tcPr>
            <w:tcW w:w="1306" w:type="dxa"/>
            <w:noWrap/>
            <w:hideMark/>
          </w:tcPr>
          <w:p w14:paraId="6AC5AB89" w14:textId="77777777" w:rsidR="00BC0DD4" w:rsidRPr="00BC0DD4" w:rsidRDefault="00BC0DD4">
            <w:r w:rsidRPr="00BC0DD4">
              <w:t>varchar(20)</w:t>
            </w:r>
          </w:p>
        </w:tc>
        <w:tc>
          <w:tcPr>
            <w:tcW w:w="630" w:type="dxa"/>
            <w:noWrap/>
            <w:hideMark/>
          </w:tcPr>
          <w:p w14:paraId="3C529690" w14:textId="77777777" w:rsidR="00BC0DD4" w:rsidRPr="00BC0DD4" w:rsidRDefault="00BC0DD4">
            <w:r w:rsidRPr="00BC0DD4">
              <w:t>NO</w:t>
            </w:r>
          </w:p>
        </w:tc>
        <w:tc>
          <w:tcPr>
            <w:tcW w:w="540" w:type="dxa"/>
            <w:noWrap/>
            <w:hideMark/>
          </w:tcPr>
          <w:p w14:paraId="4766EC73" w14:textId="77777777" w:rsidR="00BC0DD4" w:rsidRPr="00BC0DD4" w:rsidRDefault="00BC0DD4">
            <w:r w:rsidRPr="00BC0DD4">
              <w:t>PRI</w:t>
            </w:r>
          </w:p>
        </w:tc>
        <w:tc>
          <w:tcPr>
            <w:tcW w:w="4135" w:type="dxa"/>
            <w:noWrap/>
            <w:hideMark/>
          </w:tcPr>
          <w:p w14:paraId="5289E552" w14:textId="77777777" w:rsidR="00BC0DD4" w:rsidRPr="00BC0DD4" w:rsidRDefault="00BC0DD4">
            <w:r w:rsidRPr="00BC0DD4">
              <w:t xml:space="preserve">The type of output for SMOKE, usually a combination of general process (exhaust, </w:t>
            </w:r>
            <w:r w:rsidRPr="00BC0DD4">
              <w:lastRenderedPageBreak/>
              <w:t>evap, refueling, or permeation) and reactive organic carbon type, either GROC or CROC.</w:t>
            </w:r>
          </w:p>
        </w:tc>
      </w:tr>
      <w:tr w:rsidR="00BC0DD4" w:rsidRPr="00BC0DD4" w14:paraId="6108C824" w14:textId="77777777" w:rsidTr="00BC0DD4">
        <w:trPr>
          <w:trHeight w:val="288"/>
        </w:trPr>
        <w:tc>
          <w:tcPr>
            <w:tcW w:w="2739" w:type="dxa"/>
            <w:noWrap/>
            <w:hideMark/>
          </w:tcPr>
          <w:p w14:paraId="2904912D" w14:textId="77777777" w:rsidR="00BC0DD4" w:rsidRPr="00BC0DD4" w:rsidRDefault="00BC0DD4">
            <w:r w:rsidRPr="00BC0DD4">
              <w:lastRenderedPageBreak/>
              <w:t>countyID</w:t>
            </w:r>
          </w:p>
        </w:tc>
        <w:tc>
          <w:tcPr>
            <w:tcW w:w="1306" w:type="dxa"/>
            <w:noWrap/>
            <w:hideMark/>
          </w:tcPr>
          <w:p w14:paraId="2F422904" w14:textId="77777777" w:rsidR="00BC0DD4" w:rsidRPr="00BC0DD4" w:rsidRDefault="00BC0DD4">
            <w:r w:rsidRPr="00BC0DD4">
              <w:t>int(11)</w:t>
            </w:r>
          </w:p>
        </w:tc>
        <w:tc>
          <w:tcPr>
            <w:tcW w:w="630" w:type="dxa"/>
            <w:noWrap/>
            <w:hideMark/>
          </w:tcPr>
          <w:p w14:paraId="182C44BD" w14:textId="77777777" w:rsidR="00BC0DD4" w:rsidRPr="00BC0DD4" w:rsidRDefault="00BC0DD4">
            <w:r w:rsidRPr="00BC0DD4">
              <w:t>NO</w:t>
            </w:r>
          </w:p>
        </w:tc>
        <w:tc>
          <w:tcPr>
            <w:tcW w:w="540" w:type="dxa"/>
            <w:noWrap/>
            <w:hideMark/>
          </w:tcPr>
          <w:p w14:paraId="7555C8AB" w14:textId="77777777" w:rsidR="00BC0DD4" w:rsidRPr="00BC0DD4" w:rsidRDefault="00BC0DD4">
            <w:r w:rsidRPr="00BC0DD4">
              <w:t>PRI</w:t>
            </w:r>
          </w:p>
        </w:tc>
        <w:tc>
          <w:tcPr>
            <w:tcW w:w="4135" w:type="dxa"/>
            <w:noWrap/>
            <w:hideMark/>
          </w:tcPr>
          <w:p w14:paraId="7700494B" w14:textId="77777777" w:rsidR="00BC0DD4" w:rsidRPr="00BC0DD4" w:rsidRDefault="00BC0DD4"/>
        </w:tc>
      </w:tr>
      <w:tr w:rsidR="00BC0DD4" w:rsidRPr="00BC0DD4" w14:paraId="3FF9C41F" w14:textId="77777777" w:rsidTr="00BC0DD4">
        <w:trPr>
          <w:trHeight w:val="288"/>
        </w:trPr>
        <w:tc>
          <w:tcPr>
            <w:tcW w:w="2739" w:type="dxa"/>
            <w:noWrap/>
            <w:hideMark/>
          </w:tcPr>
          <w:p w14:paraId="28F2FDB2" w14:textId="77777777" w:rsidR="00BC0DD4" w:rsidRPr="00BC0DD4" w:rsidRDefault="00BC0DD4">
            <w:r w:rsidRPr="00BC0DD4">
              <w:t>profileContribution</w:t>
            </w:r>
          </w:p>
        </w:tc>
        <w:tc>
          <w:tcPr>
            <w:tcW w:w="1306" w:type="dxa"/>
            <w:noWrap/>
            <w:hideMark/>
          </w:tcPr>
          <w:p w14:paraId="0CFB6FBB" w14:textId="77777777" w:rsidR="00BC0DD4" w:rsidRPr="00BC0DD4" w:rsidRDefault="00BC0DD4">
            <w:r w:rsidRPr="00BC0DD4">
              <w:t>double</w:t>
            </w:r>
          </w:p>
        </w:tc>
        <w:tc>
          <w:tcPr>
            <w:tcW w:w="630" w:type="dxa"/>
            <w:noWrap/>
            <w:hideMark/>
          </w:tcPr>
          <w:p w14:paraId="24FA1926" w14:textId="77777777" w:rsidR="00BC0DD4" w:rsidRPr="00BC0DD4" w:rsidRDefault="00BC0DD4">
            <w:r w:rsidRPr="00BC0DD4">
              <w:t>YES</w:t>
            </w:r>
          </w:p>
        </w:tc>
        <w:tc>
          <w:tcPr>
            <w:tcW w:w="540" w:type="dxa"/>
            <w:noWrap/>
            <w:hideMark/>
          </w:tcPr>
          <w:p w14:paraId="29A393D5" w14:textId="77777777" w:rsidR="00BC0DD4" w:rsidRPr="00BC0DD4" w:rsidRDefault="00BC0DD4"/>
        </w:tc>
        <w:tc>
          <w:tcPr>
            <w:tcW w:w="4135" w:type="dxa"/>
            <w:noWrap/>
            <w:hideMark/>
          </w:tcPr>
          <w:p w14:paraId="036B21BB" w14:textId="77777777" w:rsidR="00BC0DD4" w:rsidRPr="00BC0DD4" w:rsidRDefault="00BC0DD4">
            <w:r w:rsidRPr="00BC0DD4">
              <w:t>The ratio of emissions that are mapped to the given speciation profile.</w:t>
            </w:r>
          </w:p>
        </w:tc>
      </w:tr>
      <w:tr w:rsidR="00BC0DD4" w:rsidRPr="00BC0DD4" w14:paraId="3BCD84C4" w14:textId="77777777" w:rsidTr="00BC0DD4">
        <w:trPr>
          <w:trHeight w:val="288"/>
        </w:trPr>
        <w:tc>
          <w:tcPr>
            <w:tcW w:w="2739" w:type="dxa"/>
            <w:noWrap/>
            <w:hideMark/>
          </w:tcPr>
          <w:p w14:paraId="6BE5B426" w14:textId="77777777" w:rsidR="00BC0DD4" w:rsidRPr="00BC0DD4" w:rsidRDefault="00BC0DD4">
            <w:r w:rsidRPr="00BC0DD4">
              <w:t>weightedCROCOMRatio / weightedGROCNMOGRatio</w:t>
            </w:r>
          </w:p>
        </w:tc>
        <w:tc>
          <w:tcPr>
            <w:tcW w:w="1306" w:type="dxa"/>
            <w:noWrap/>
            <w:hideMark/>
          </w:tcPr>
          <w:p w14:paraId="663CFC4E" w14:textId="77777777" w:rsidR="00BC0DD4" w:rsidRPr="00BC0DD4" w:rsidRDefault="00BC0DD4">
            <w:r w:rsidRPr="00BC0DD4">
              <w:t>double</w:t>
            </w:r>
          </w:p>
        </w:tc>
        <w:tc>
          <w:tcPr>
            <w:tcW w:w="630" w:type="dxa"/>
            <w:noWrap/>
            <w:hideMark/>
          </w:tcPr>
          <w:p w14:paraId="4CA828C2" w14:textId="77777777" w:rsidR="00BC0DD4" w:rsidRPr="00BC0DD4" w:rsidRDefault="00BC0DD4">
            <w:r w:rsidRPr="00BC0DD4">
              <w:t>YES</w:t>
            </w:r>
          </w:p>
        </w:tc>
        <w:tc>
          <w:tcPr>
            <w:tcW w:w="540" w:type="dxa"/>
            <w:noWrap/>
            <w:hideMark/>
          </w:tcPr>
          <w:p w14:paraId="6A306DF2" w14:textId="77777777" w:rsidR="00BC0DD4" w:rsidRPr="00BC0DD4" w:rsidRDefault="00BC0DD4"/>
        </w:tc>
        <w:tc>
          <w:tcPr>
            <w:tcW w:w="4135" w:type="dxa"/>
            <w:noWrap/>
            <w:hideMark/>
          </w:tcPr>
          <w:p w14:paraId="5EF6C417" w14:textId="75712AF2" w:rsidR="00BC0DD4" w:rsidRPr="00BC0DD4" w:rsidRDefault="00BC0DD4">
            <w:r w:rsidRPr="00BC0DD4">
              <w:t>The ratio to cal</w:t>
            </w:r>
            <w:r w:rsidR="00432D5F">
              <w:t>c</w:t>
            </w:r>
            <w:r w:rsidRPr="00BC0DD4">
              <w:t>ulate GROC (for gases) or CROC (for PM) based on MOVES output of non-methane organic gases (NMOG) or total organic matter (TOM), respectively. This is used for</w:t>
            </w:r>
            <w:r w:rsidR="00432D5F">
              <w:t xml:space="preserve"> novel chemical mechanisms like CRACMM</w:t>
            </w:r>
            <w:r w:rsidR="003729C3">
              <w:t>.</w:t>
            </w:r>
            <w:r w:rsidR="00432D5F">
              <w:rPr>
                <w:rStyle w:val="EndnoteReference"/>
              </w:rPr>
              <w:endnoteReference w:id="3"/>
            </w:r>
          </w:p>
        </w:tc>
      </w:tr>
    </w:tbl>
    <w:p w14:paraId="08A64A65" w14:textId="77777777" w:rsidR="00F45BD9" w:rsidRPr="00F45BD9" w:rsidRDefault="00F45BD9" w:rsidP="00F45BD9"/>
    <w:sectPr w:rsidR="00F45BD9" w:rsidRPr="00F45BD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D7977" w14:textId="77777777" w:rsidR="003E308E" w:rsidRDefault="003E308E" w:rsidP="0065261C">
      <w:pPr>
        <w:spacing w:after="0" w:line="240" w:lineRule="auto"/>
      </w:pPr>
      <w:r>
        <w:separator/>
      </w:r>
    </w:p>
  </w:endnote>
  <w:endnote w:type="continuationSeparator" w:id="0">
    <w:p w14:paraId="71E4D2AA" w14:textId="77777777" w:rsidR="003E308E" w:rsidRDefault="003E308E" w:rsidP="0065261C">
      <w:pPr>
        <w:spacing w:after="0" w:line="240" w:lineRule="auto"/>
      </w:pPr>
      <w:r>
        <w:continuationSeparator/>
      </w:r>
    </w:p>
  </w:endnote>
  <w:endnote w:id="1">
    <w:p w14:paraId="7C9A6C68" w14:textId="77777777" w:rsidR="00633888" w:rsidRDefault="00633888" w:rsidP="00633888">
      <w:pPr>
        <w:pStyle w:val="EndnoteText"/>
      </w:pPr>
      <w:r>
        <w:rPr>
          <w:rStyle w:val="EndnoteReference"/>
        </w:rPr>
        <w:endnoteRef/>
      </w:r>
      <w:r>
        <w:t xml:space="preserve"> USEPA (2022), SPECIATE5.2 </w:t>
      </w:r>
      <w:hyperlink r:id="rId1" w:history="1">
        <w:r>
          <w:rPr>
            <w:rStyle w:val="Hyperlink"/>
          </w:rPr>
          <w:t>https://www.epa.gov/air-emissions-modeling/speciate</w:t>
        </w:r>
      </w:hyperlink>
    </w:p>
  </w:endnote>
  <w:endnote w:id="2">
    <w:p w14:paraId="4B3DD116" w14:textId="77777777" w:rsidR="00633888" w:rsidRDefault="00633888" w:rsidP="00633888">
      <w:pPr>
        <w:pStyle w:val="EndnoteText"/>
      </w:pPr>
      <w:r>
        <w:rPr>
          <w:rStyle w:val="EndnoteReference"/>
        </w:rPr>
        <w:endnoteRef/>
      </w:r>
      <w:r>
        <w:t xml:space="preserve"> </w:t>
      </w:r>
      <w:r w:rsidRPr="004F4A8D">
        <w:t>Heald, C. L. and Kroll, J. H.</w:t>
      </w:r>
      <w:r>
        <w:t xml:space="preserve"> (2020).</w:t>
      </w:r>
      <w:r w:rsidRPr="004F4A8D">
        <w:t xml:space="preserve"> The fuel of atmospheric chemistry: Toward a complete description of reactive organic carbon, </w:t>
      </w:r>
      <w:r w:rsidRPr="004F4A8D">
        <w:rPr>
          <w:i/>
          <w:iCs/>
        </w:rPr>
        <w:t>Science Advances</w:t>
      </w:r>
      <w:r w:rsidRPr="004F4A8D">
        <w:t xml:space="preserve">, 6, eaay8967, </w:t>
      </w:r>
      <w:r>
        <w:t>DOI:</w:t>
      </w:r>
      <w:r w:rsidRPr="004F4A8D">
        <w:t>10.1126/sciadv.aay8967</w:t>
      </w:r>
    </w:p>
  </w:endnote>
  <w:endnote w:id="3">
    <w:p w14:paraId="13AFA84C" w14:textId="5A29CCB5" w:rsidR="00432D5F" w:rsidRDefault="00432D5F">
      <w:pPr>
        <w:pStyle w:val="EndnoteText"/>
      </w:pPr>
      <w:r>
        <w:rPr>
          <w:rStyle w:val="EndnoteReference"/>
        </w:rPr>
        <w:endnoteRef/>
      </w:r>
      <w:r>
        <w:t xml:space="preserve"> </w:t>
      </w:r>
      <w:r w:rsidRPr="00432D5F">
        <w:t>https://www.epa.gov/system/files/documents/2021-11/cracmm-factsheet-october-2021-v2.pdf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1DA4" w14:textId="77777777" w:rsidR="000B1752" w:rsidRDefault="000B17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EE65" w14:textId="2BB06FA5" w:rsidR="005E4BF3" w:rsidRDefault="005E4BF3">
    <w:pPr>
      <w:pStyle w:val="Footer"/>
    </w:pPr>
    <w:r>
      <w:t>Last Revised: 07/2</w:t>
    </w:r>
    <w:r w:rsidR="000B1752">
      <w:t>8</w:t>
    </w:r>
    <w:r>
      <w:t>/2022</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8721" w14:textId="77777777" w:rsidR="000B1752" w:rsidRDefault="000B1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AD23B" w14:textId="77777777" w:rsidR="003E308E" w:rsidRDefault="003E308E" w:rsidP="0065261C">
      <w:pPr>
        <w:spacing w:after="0" w:line="240" w:lineRule="auto"/>
      </w:pPr>
      <w:r>
        <w:separator/>
      </w:r>
    </w:p>
  </w:footnote>
  <w:footnote w:type="continuationSeparator" w:id="0">
    <w:p w14:paraId="7D565BBB" w14:textId="77777777" w:rsidR="003E308E" w:rsidRDefault="003E308E" w:rsidP="00652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C2E5A" w14:textId="77777777" w:rsidR="000B1752" w:rsidRDefault="000B17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6AF5" w14:textId="77777777" w:rsidR="000B1752" w:rsidRDefault="000B17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E6852" w14:textId="77777777" w:rsidR="000B1752" w:rsidRDefault="000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17B6"/>
    <w:multiLevelType w:val="hybridMultilevel"/>
    <w:tmpl w:val="9D648CF8"/>
    <w:lvl w:ilvl="0" w:tplc="0409000F">
      <w:start w:val="1"/>
      <w:numFmt w:val="decimal"/>
      <w:lvlText w:val="%1."/>
      <w:lvlJc w:val="lef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 w15:restartNumberingAfterBreak="0">
    <w:nsid w:val="21C53D1E"/>
    <w:multiLevelType w:val="hybridMultilevel"/>
    <w:tmpl w:val="D3342CE0"/>
    <w:lvl w:ilvl="0" w:tplc="13B8B600">
      <w:start w:val="1"/>
      <w:numFmt w:val="decimal"/>
      <w:pStyle w:val="MOVESAppendixHeading4"/>
      <w:lvlText w:val="A.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22AF9"/>
    <w:multiLevelType w:val="hybridMultilevel"/>
    <w:tmpl w:val="10980ABA"/>
    <w:lvl w:ilvl="0" w:tplc="DFF2FA56">
      <w:start w:val="1"/>
      <w:numFmt w:val="decimal"/>
      <w:pStyle w:val="MOVESAppendixHeading2"/>
      <w:lvlText w:val="A.%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84A6BDC"/>
    <w:multiLevelType w:val="hybridMultilevel"/>
    <w:tmpl w:val="31945848"/>
    <w:lvl w:ilvl="0" w:tplc="C55AB058">
      <w:start w:val="1"/>
      <w:numFmt w:val="decimal"/>
      <w:pStyle w:val="MOVESAppendixHeading3"/>
      <w:lvlText w:val="A.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752DB0"/>
    <w:multiLevelType w:val="hybridMultilevel"/>
    <w:tmpl w:val="C380B69A"/>
    <w:lvl w:ilvl="0" w:tplc="9B4AFADE">
      <w:start w:val="1"/>
      <w:numFmt w:val="upperLetter"/>
      <w:pStyle w:val="MOVES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B22FA"/>
    <w:multiLevelType w:val="hybridMultilevel"/>
    <w:tmpl w:val="0306381A"/>
    <w:lvl w:ilvl="0" w:tplc="DCC657EC">
      <w:start w:val="1"/>
      <w:numFmt w:val="decimal"/>
      <w:pStyle w:val="MOVESAppendixHeading2D"/>
      <w:lvlText w:val="D.%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480535EA"/>
    <w:multiLevelType w:val="hybridMultilevel"/>
    <w:tmpl w:val="1DE2E134"/>
    <w:lvl w:ilvl="0" w:tplc="107CB9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301BF"/>
    <w:multiLevelType w:val="hybridMultilevel"/>
    <w:tmpl w:val="968876DC"/>
    <w:lvl w:ilvl="0" w:tplc="5588DEA8">
      <w:start w:val="1"/>
      <w:numFmt w:val="upperLetter"/>
      <w:pStyle w:val="MOVESAppendixHeading1"/>
      <w:lvlText w:val="Appendix %1"/>
      <w:lvlJc w:val="left"/>
      <w:pPr>
        <w:ind w:left="1584" w:hanging="360"/>
      </w:pPr>
      <w:rPr>
        <w:rFonts w:hint="default"/>
      </w:r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6EAD4062"/>
    <w:multiLevelType w:val="multilevel"/>
    <w:tmpl w:val="B100F8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upperLetter"/>
      <w:lvlRestart w:val="0"/>
      <w:lvlText w:val="Appendix %6"/>
      <w:lvlJc w:val="left"/>
      <w:pPr>
        <w:ind w:left="360" w:hanging="360"/>
      </w:pPr>
      <w:rPr>
        <w:rFonts w:hint="default"/>
      </w:rPr>
    </w:lvl>
    <w:lvl w:ilvl="6">
      <w:start w:val="1"/>
      <w:numFmt w:val="decimal"/>
      <w:lvlText w:val="%6.%7"/>
      <w:lvlJc w:val="left"/>
      <w:pPr>
        <w:ind w:left="720" w:hanging="360"/>
      </w:pPr>
      <w:rPr>
        <w:rFonts w:hint="default"/>
      </w:rPr>
    </w:lvl>
    <w:lvl w:ilvl="7">
      <w:start w:val="1"/>
      <w:numFmt w:val="decimal"/>
      <w:lvlText w:val="%6.%7.%8"/>
      <w:lvlJc w:val="left"/>
      <w:pPr>
        <w:ind w:left="1080" w:hanging="360"/>
      </w:pPr>
      <w:rPr>
        <w:rFonts w:hint="default"/>
      </w:rPr>
    </w:lvl>
    <w:lvl w:ilvl="8">
      <w:start w:val="1"/>
      <w:numFmt w:val="none"/>
      <w:lvlText w:val="%9"/>
      <w:lvlJc w:val="left"/>
      <w:pPr>
        <w:ind w:left="3240" w:hanging="360"/>
      </w:pPr>
      <w:rPr>
        <w:rFonts w:hint="default"/>
      </w:rPr>
    </w:lvl>
  </w:abstractNum>
  <w:num w:numId="1">
    <w:abstractNumId w:val="8"/>
  </w:num>
  <w:num w:numId="2">
    <w:abstractNumId w:val="7"/>
  </w:num>
  <w:num w:numId="3">
    <w:abstractNumId w:val="4"/>
  </w:num>
  <w:num w:numId="4">
    <w:abstractNumId w:val="7"/>
  </w:num>
  <w:num w:numId="5">
    <w:abstractNumId w:val="2"/>
  </w:num>
  <w:num w:numId="6">
    <w:abstractNumId w:val="3"/>
  </w:num>
  <w:num w:numId="7">
    <w:abstractNumId w:val="1"/>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D9"/>
    <w:rsid w:val="0009186F"/>
    <w:rsid w:val="000B1752"/>
    <w:rsid w:val="00184554"/>
    <w:rsid w:val="00201F8D"/>
    <w:rsid w:val="00202689"/>
    <w:rsid w:val="002464AD"/>
    <w:rsid w:val="003729C3"/>
    <w:rsid w:val="003730BC"/>
    <w:rsid w:val="00374F31"/>
    <w:rsid w:val="003D2E8C"/>
    <w:rsid w:val="003E308E"/>
    <w:rsid w:val="004032C2"/>
    <w:rsid w:val="004141F1"/>
    <w:rsid w:val="0042766F"/>
    <w:rsid w:val="00432D5F"/>
    <w:rsid w:val="00482A02"/>
    <w:rsid w:val="004B2416"/>
    <w:rsid w:val="004F6160"/>
    <w:rsid w:val="00505F37"/>
    <w:rsid w:val="00516D6A"/>
    <w:rsid w:val="0059582F"/>
    <w:rsid w:val="005C5B26"/>
    <w:rsid w:val="005D3D76"/>
    <w:rsid w:val="005E4BF3"/>
    <w:rsid w:val="00633888"/>
    <w:rsid w:val="0065261C"/>
    <w:rsid w:val="006A5F36"/>
    <w:rsid w:val="006C57C7"/>
    <w:rsid w:val="006D57BE"/>
    <w:rsid w:val="006E628C"/>
    <w:rsid w:val="006F33CE"/>
    <w:rsid w:val="007F054C"/>
    <w:rsid w:val="00863C05"/>
    <w:rsid w:val="008D15CC"/>
    <w:rsid w:val="008E04A0"/>
    <w:rsid w:val="0092336F"/>
    <w:rsid w:val="009338E1"/>
    <w:rsid w:val="009A5E37"/>
    <w:rsid w:val="009A7F24"/>
    <w:rsid w:val="009D0720"/>
    <w:rsid w:val="00A15D2E"/>
    <w:rsid w:val="00A16BE6"/>
    <w:rsid w:val="00A170E3"/>
    <w:rsid w:val="00AA75CF"/>
    <w:rsid w:val="00AB617F"/>
    <w:rsid w:val="00AC6FE0"/>
    <w:rsid w:val="00B15A74"/>
    <w:rsid w:val="00B22682"/>
    <w:rsid w:val="00B824DA"/>
    <w:rsid w:val="00BB6EBC"/>
    <w:rsid w:val="00BC0DD4"/>
    <w:rsid w:val="00BF4F51"/>
    <w:rsid w:val="00C1205A"/>
    <w:rsid w:val="00C12F70"/>
    <w:rsid w:val="00CA168D"/>
    <w:rsid w:val="00D4740B"/>
    <w:rsid w:val="00D611C6"/>
    <w:rsid w:val="00D63435"/>
    <w:rsid w:val="00D84FBD"/>
    <w:rsid w:val="00DE4149"/>
    <w:rsid w:val="00DE44F5"/>
    <w:rsid w:val="00DE5D8C"/>
    <w:rsid w:val="00EA752F"/>
    <w:rsid w:val="00F45043"/>
    <w:rsid w:val="00F45BD9"/>
    <w:rsid w:val="00F72C0B"/>
    <w:rsid w:val="00F8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CF6D"/>
  <w15:docId w15:val="{6A211803-378B-4569-97B3-49C12C6E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149"/>
    <w:pPr>
      <w:keepNext/>
      <w:keepLines/>
      <w:spacing w:before="40" w:after="0" w:line="247"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VESAppendixHeading">
    <w:name w:val="MOVES Appendix Heading"/>
    <w:next w:val="Normal"/>
    <w:link w:val="MOVESAppendixHeadingChar"/>
    <w:qFormat/>
    <w:rsid w:val="004F6160"/>
    <w:pPr>
      <w:numPr>
        <w:numId w:val="3"/>
      </w:numPr>
      <w:spacing w:after="0" w:line="240" w:lineRule="auto"/>
      <w:outlineLvl w:val="0"/>
    </w:pPr>
    <w:rPr>
      <w:rFonts w:ascii="Times New Roman" w:eastAsiaTheme="majorEastAsia" w:hAnsi="Times New Roman" w:cstheme="majorBidi"/>
      <w:b/>
      <w:iCs/>
      <w:sz w:val="32"/>
      <w:szCs w:val="24"/>
    </w:rPr>
  </w:style>
  <w:style w:type="character" w:customStyle="1" w:styleId="MOVESAppendixHeadingChar">
    <w:name w:val="MOVES Appendix Heading Char"/>
    <w:basedOn w:val="DefaultParagraphFont"/>
    <w:link w:val="MOVESAppendixHeading"/>
    <w:rsid w:val="004F6160"/>
    <w:rPr>
      <w:rFonts w:ascii="Times New Roman" w:eastAsiaTheme="majorEastAsia" w:hAnsi="Times New Roman" w:cstheme="majorBidi"/>
      <w:b/>
      <w:iCs/>
      <w:sz w:val="32"/>
      <w:szCs w:val="24"/>
    </w:rPr>
  </w:style>
  <w:style w:type="paragraph" w:customStyle="1" w:styleId="MOVESAppendixHeading1">
    <w:name w:val="MOVES Appendix Heading 1"/>
    <w:basedOn w:val="Heading1"/>
    <w:link w:val="MOVESAppendixHeading1Char"/>
    <w:rsid w:val="004F6160"/>
    <w:pPr>
      <w:keepLines w:val="0"/>
      <w:numPr>
        <w:numId w:val="4"/>
      </w:numPr>
      <w:spacing w:before="0" w:line="240" w:lineRule="auto"/>
    </w:pPr>
    <w:rPr>
      <w:rFonts w:ascii="Times New Roman" w:hAnsi="Times New Roman" w:cs="Arial"/>
      <w:b/>
      <w:bCs/>
      <w:color w:val="1F3864" w:themeColor="accent1" w:themeShade="80"/>
      <w:kern w:val="32"/>
      <w:sz w:val="28"/>
    </w:rPr>
  </w:style>
  <w:style w:type="character" w:customStyle="1" w:styleId="MOVESAppendixHeading1Char">
    <w:name w:val="MOVES Appendix Heading 1 Char"/>
    <w:basedOn w:val="DefaultParagraphFont"/>
    <w:link w:val="MOVESAppendixHeading1"/>
    <w:rsid w:val="004F6160"/>
    <w:rPr>
      <w:rFonts w:ascii="Times New Roman" w:eastAsiaTheme="majorEastAsia" w:hAnsi="Times New Roman" w:cs="Arial"/>
      <w:b/>
      <w:bCs/>
      <w:color w:val="1F3864" w:themeColor="accent1" w:themeShade="80"/>
      <w:kern w:val="32"/>
      <w:sz w:val="28"/>
      <w:szCs w:val="32"/>
    </w:rPr>
  </w:style>
  <w:style w:type="character" w:customStyle="1" w:styleId="Heading1Char">
    <w:name w:val="Heading 1 Char"/>
    <w:basedOn w:val="DefaultParagraphFont"/>
    <w:link w:val="Heading1"/>
    <w:uiPriority w:val="9"/>
    <w:rsid w:val="00DE5D8C"/>
    <w:rPr>
      <w:rFonts w:asciiTheme="majorHAnsi" w:eastAsiaTheme="majorEastAsia" w:hAnsiTheme="majorHAnsi" w:cstheme="majorBidi"/>
      <w:color w:val="2F5496" w:themeColor="accent1" w:themeShade="BF"/>
      <w:sz w:val="32"/>
      <w:szCs w:val="32"/>
    </w:rPr>
  </w:style>
  <w:style w:type="paragraph" w:customStyle="1" w:styleId="MOVESAppendixHeading2">
    <w:name w:val="MOVES Appendix Heading2"/>
    <w:next w:val="Normal"/>
    <w:link w:val="MOVESAppendixHeading2Char"/>
    <w:qFormat/>
    <w:rsid w:val="004F6160"/>
    <w:pPr>
      <w:numPr>
        <w:numId w:val="5"/>
      </w:numPr>
      <w:spacing w:after="0" w:line="240" w:lineRule="auto"/>
      <w:outlineLvl w:val="1"/>
    </w:pPr>
    <w:rPr>
      <w:rFonts w:ascii="Times New Roman" w:eastAsiaTheme="majorEastAsia" w:hAnsi="Times New Roman" w:cstheme="majorBidi"/>
      <w:b/>
      <w:iCs/>
      <w:sz w:val="32"/>
      <w:szCs w:val="24"/>
    </w:rPr>
  </w:style>
  <w:style w:type="character" w:customStyle="1" w:styleId="MOVESAppendixHeading2Char">
    <w:name w:val="MOVES Appendix Heading2 Char"/>
    <w:basedOn w:val="DefaultParagraphFont"/>
    <w:link w:val="MOVESAppendixHeading2"/>
    <w:rsid w:val="004F6160"/>
    <w:rPr>
      <w:rFonts w:ascii="Times New Roman" w:eastAsiaTheme="majorEastAsia" w:hAnsi="Times New Roman" w:cstheme="majorBidi"/>
      <w:b/>
      <w:iCs/>
      <w:sz w:val="32"/>
      <w:szCs w:val="24"/>
    </w:rPr>
  </w:style>
  <w:style w:type="paragraph" w:customStyle="1" w:styleId="MOVESAppendixHeading3">
    <w:name w:val="MOVES Appendix Heading 3"/>
    <w:basedOn w:val="MOVESAppendixHeading2"/>
    <w:next w:val="Normal"/>
    <w:link w:val="MOVESAppendixHeading3Char"/>
    <w:qFormat/>
    <w:rsid w:val="004F6160"/>
    <w:pPr>
      <w:numPr>
        <w:numId w:val="6"/>
      </w:numPr>
    </w:pPr>
    <w:rPr>
      <w:b w:val="0"/>
      <w:sz w:val="28"/>
    </w:rPr>
  </w:style>
  <w:style w:type="character" w:customStyle="1" w:styleId="MOVESAppendixHeading3Char">
    <w:name w:val="MOVES Appendix Heading 3 Char"/>
    <w:basedOn w:val="MOVESAppendixHeading2Char"/>
    <w:link w:val="MOVESAppendixHeading3"/>
    <w:rsid w:val="004F6160"/>
    <w:rPr>
      <w:rFonts w:ascii="Times New Roman" w:eastAsiaTheme="majorEastAsia" w:hAnsi="Times New Roman" w:cstheme="majorBidi"/>
      <w:b w:val="0"/>
      <w:iCs/>
      <w:sz w:val="28"/>
      <w:szCs w:val="24"/>
    </w:rPr>
  </w:style>
  <w:style w:type="paragraph" w:customStyle="1" w:styleId="MOVESAppendixHeading4">
    <w:name w:val="MOVES Appendix Heading 4"/>
    <w:basedOn w:val="Normal"/>
    <w:link w:val="MOVESAppendixHeading4Char"/>
    <w:qFormat/>
    <w:rsid w:val="004F6160"/>
    <w:pPr>
      <w:numPr>
        <w:numId w:val="7"/>
      </w:numPr>
      <w:spacing w:after="0" w:line="240" w:lineRule="auto"/>
    </w:pPr>
    <w:rPr>
      <w:rFonts w:ascii="Times New Roman" w:eastAsia="Times New Roman" w:hAnsi="Times New Roman" w:cs="Times New Roman"/>
      <w:sz w:val="24"/>
      <w:szCs w:val="24"/>
    </w:rPr>
  </w:style>
  <w:style w:type="character" w:customStyle="1" w:styleId="MOVESAppendixHeading4Char">
    <w:name w:val="MOVES Appendix Heading 4 Char"/>
    <w:basedOn w:val="DefaultParagraphFont"/>
    <w:link w:val="MOVESAppendixHeading4"/>
    <w:rsid w:val="004F6160"/>
    <w:rPr>
      <w:rFonts w:ascii="Times New Roman" w:eastAsia="Times New Roman" w:hAnsi="Times New Roman" w:cs="Times New Roman"/>
      <w:sz w:val="24"/>
      <w:szCs w:val="24"/>
    </w:rPr>
  </w:style>
  <w:style w:type="paragraph" w:customStyle="1" w:styleId="MOVESAppendixHeading2D">
    <w:name w:val="MOVES Appendix Heading2D"/>
    <w:basedOn w:val="MOVESAppendixHeading2"/>
    <w:qFormat/>
    <w:rsid w:val="004F6160"/>
    <w:pPr>
      <w:numPr>
        <w:numId w:val="8"/>
      </w:numPr>
    </w:pPr>
  </w:style>
  <w:style w:type="paragraph" w:styleId="Title">
    <w:name w:val="Title"/>
    <w:basedOn w:val="Normal"/>
    <w:next w:val="Normal"/>
    <w:link w:val="TitleChar"/>
    <w:uiPriority w:val="10"/>
    <w:qFormat/>
    <w:rsid w:val="00F45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BD9"/>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6526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261C"/>
    <w:rPr>
      <w:sz w:val="20"/>
      <w:szCs w:val="20"/>
    </w:rPr>
  </w:style>
  <w:style w:type="character" w:styleId="EndnoteReference">
    <w:name w:val="endnote reference"/>
    <w:basedOn w:val="DefaultParagraphFont"/>
    <w:uiPriority w:val="99"/>
    <w:semiHidden/>
    <w:unhideWhenUsed/>
    <w:rsid w:val="0065261C"/>
    <w:rPr>
      <w:vertAlign w:val="superscript"/>
    </w:rPr>
  </w:style>
  <w:style w:type="character" w:styleId="Hyperlink">
    <w:name w:val="Hyperlink"/>
    <w:basedOn w:val="DefaultParagraphFont"/>
    <w:uiPriority w:val="99"/>
    <w:rsid w:val="0065261C"/>
    <w:rPr>
      <w:color w:val="0000FF"/>
      <w:u w:val="single"/>
    </w:rPr>
  </w:style>
  <w:style w:type="paragraph" w:styleId="ListParagraph">
    <w:name w:val="List Paragraph"/>
    <w:basedOn w:val="Normal"/>
    <w:uiPriority w:val="34"/>
    <w:qFormat/>
    <w:rsid w:val="00863C05"/>
    <w:pPr>
      <w:ind w:left="720"/>
      <w:contextualSpacing/>
    </w:pPr>
  </w:style>
  <w:style w:type="character" w:customStyle="1" w:styleId="Heading2Char">
    <w:name w:val="Heading 2 Char"/>
    <w:basedOn w:val="DefaultParagraphFont"/>
    <w:link w:val="Heading2"/>
    <w:uiPriority w:val="9"/>
    <w:rsid w:val="00DE414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C0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4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BF3"/>
  </w:style>
  <w:style w:type="paragraph" w:styleId="Footer">
    <w:name w:val="footer"/>
    <w:basedOn w:val="Normal"/>
    <w:link w:val="FooterChar"/>
    <w:uiPriority w:val="99"/>
    <w:unhideWhenUsed/>
    <w:rsid w:val="005E4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BF3"/>
  </w:style>
  <w:style w:type="character" w:styleId="CommentReference">
    <w:name w:val="annotation reference"/>
    <w:basedOn w:val="DefaultParagraphFont"/>
    <w:uiPriority w:val="99"/>
    <w:semiHidden/>
    <w:unhideWhenUsed/>
    <w:rsid w:val="00D84FBD"/>
    <w:rPr>
      <w:sz w:val="16"/>
      <w:szCs w:val="16"/>
    </w:rPr>
  </w:style>
  <w:style w:type="paragraph" w:styleId="CommentText">
    <w:name w:val="annotation text"/>
    <w:basedOn w:val="Normal"/>
    <w:link w:val="CommentTextChar"/>
    <w:uiPriority w:val="99"/>
    <w:semiHidden/>
    <w:unhideWhenUsed/>
    <w:rsid w:val="00D84FBD"/>
    <w:pPr>
      <w:spacing w:line="240" w:lineRule="auto"/>
    </w:pPr>
    <w:rPr>
      <w:sz w:val="20"/>
      <w:szCs w:val="20"/>
    </w:rPr>
  </w:style>
  <w:style w:type="character" w:customStyle="1" w:styleId="CommentTextChar">
    <w:name w:val="Comment Text Char"/>
    <w:basedOn w:val="DefaultParagraphFont"/>
    <w:link w:val="CommentText"/>
    <w:uiPriority w:val="99"/>
    <w:semiHidden/>
    <w:rsid w:val="00D84FBD"/>
    <w:rPr>
      <w:sz w:val="20"/>
      <w:szCs w:val="20"/>
    </w:rPr>
  </w:style>
  <w:style w:type="paragraph" w:styleId="CommentSubject">
    <w:name w:val="annotation subject"/>
    <w:basedOn w:val="CommentText"/>
    <w:next w:val="CommentText"/>
    <w:link w:val="CommentSubjectChar"/>
    <w:uiPriority w:val="99"/>
    <w:semiHidden/>
    <w:unhideWhenUsed/>
    <w:rsid w:val="00D84FBD"/>
    <w:rPr>
      <w:b/>
      <w:bCs/>
    </w:rPr>
  </w:style>
  <w:style w:type="character" w:customStyle="1" w:styleId="CommentSubjectChar">
    <w:name w:val="Comment Subject Char"/>
    <w:basedOn w:val="CommentTextChar"/>
    <w:link w:val="CommentSubject"/>
    <w:uiPriority w:val="99"/>
    <w:semiHidden/>
    <w:rsid w:val="00D84F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635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epa.gov/air-emissions-modeling/speci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3015F-5B5B-4A81-A55D-3F012E92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 Claudia</dc:creator>
  <cp:keywords/>
  <dc:description/>
  <cp:lastModifiedBy>Murray, Evan</cp:lastModifiedBy>
  <cp:revision>15</cp:revision>
  <cp:lastPrinted>2022-07-22T14:02:00Z</cp:lastPrinted>
  <dcterms:created xsi:type="dcterms:W3CDTF">2022-07-22T14:04:00Z</dcterms:created>
  <dcterms:modified xsi:type="dcterms:W3CDTF">2022-07-28T21:43:00Z</dcterms:modified>
</cp:coreProperties>
</file>