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C4C" w:rsidRPr="00B07D57" w:rsidRDefault="00D7779B" w:rsidP="00B07D57">
      <w:pPr>
        <w:spacing w:line="1200" w:lineRule="auto"/>
        <w:jc w:val="center"/>
        <w:rPr>
          <w:rFonts w:ascii="黑体" w:eastAsia="黑体" w:hAnsi="黑体"/>
          <w:b/>
          <w:sz w:val="48"/>
          <w:szCs w:val="24"/>
        </w:rPr>
      </w:pPr>
      <w:r w:rsidRPr="00B07D57">
        <w:rPr>
          <w:rFonts w:ascii="黑体" w:eastAsia="黑体" w:hAnsi="黑体" w:hint="eastAsia"/>
          <w:b/>
          <w:sz w:val="48"/>
          <w:szCs w:val="24"/>
        </w:rPr>
        <w:t>证券公司网上开户系统</w:t>
      </w:r>
    </w:p>
    <w:p w:rsidR="00917B18" w:rsidRDefault="00917B18" w:rsidP="0081097B">
      <w:pPr>
        <w:pStyle w:val="1"/>
        <w:numPr>
          <w:ilvl w:val="0"/>
          <w:numId w:val="1"/>
        </w:numPr>
      </w:pPr>
      <w:r>
        <w:t>需求背景</w:t>
      </w:r>
    </w:p>
    <w:p w:rsidR="00F37118" w:rsidRDefault="0081097B" w:rsidP="0081097B">
      <w:pPr>
        <w:ind w:firstLine="420"/>
        <w:rPr>
          <w:rFonts w:ascii="微软雅黑" w:eastAsia="微软雅黑" w:hAnsi="微软雅黑"/>
          <w:sz w:val="24"/>
          <w:szCs w:val="24"/>
        </w:rPr>
      </w:pPr>
      <w:r w:rsidRPr="0081097B">
        <w:rPr>
          <w:rFonts w:ascii="微软雅黑" w:eastAsia="微软雅黑" w:hAnsi="微软雅黑" w:hint="eastAsia"/>
          <w:sz w:val="24"/>
          <w:szCs w:val="24"/>
        </w:rPr>
        <w:t>中国证券业协会于</w:t>
      </w:r>
      <w:r w:rsidRPr="0081097B">
        <w:rPr>
          <w:rFonts w:ascii="微软雅黑" w:eastAsia="微软雅黑" w:hAnsi="微软雅黑"/>
          <w:sz w:val="24"/>
          <w:szCs w:val="24"/>
        </w:rPr>
        <w:t>2013</w:t>
      </w:r>
      <w:r w:rsidRPr="0081097B">
        <w:rPr>
          <w:rFonts w:ascii="微软雅黑" w:eastAsia="微软雅黑" w:hAnsi="微软雅黑" w:hint="eastAsia"/>
          <w:sz w:val="24"/>
          <w:szCs w:val="24"/>
        </w:rPr>
        <w:t>年</w:t>
      </w:r>
      <w:r w:rsidRPr="0081097B">
        <w:rPr>
          <w:rFonts w:ascii="微软雅黑" w:eastAsia="微软雅黑" w:hAnsi="微软雅黑"/>
          <w:sz w:val="24"/>
          <w:szCs w:val="24"/>
        </w:rPr>
        <w:t>3</w:t>
      </w:r>
      <w:r w:rsidRPr="0081097B">
        <w:rPr>
          <w:rFonts w:ascii="微软雅黑" w:eastAsia="微软雅黑" w:hAnsi="微软雅黑" w:hint="eastAsia"/>
          <w:sz w:val="24"/>
          <w:szCs w:val="24"/>
        </w:rPr>
        <w:t>月发布《证券公司开立客户账户规范》，第一章第五条指出，证券公司可以在经营场所内为客户现场开立账户，也可以通过见证、网上及中国证监会认可的其他方式为客户开立账户。</w:t>
      </w:r>
    </w:p>
    <w:p w:rsidR="00917B18" w:rsidRDefault="0081097B" w:rsidP="0081097B">
      <w:pPr>
        <w:ind w:firstLine="420"/>
        <w:rPr>
          <w:rFonts w:ascii="微软雅黑" w:eastAsia="微软雅黑" w:hAnsi="微软雅黑"/>
          <w:sz w:val="24"/>
          <w:szCs w:val="24"/>
        </w:rPr>
      </w:pPr>
      <w:r w:rsidRPr="0081097B">
        <w:rPr>
          <w:rFonts w:ascii="微软雅黑" w:eastAsia="微软雅黑" w:hAnsi="微软雅黑" w:hint="eastAsia"/>
          <w:sz w:val="24"/>
          <w:szCs w:val="24"/>
        </w:rPr>
        <w:t>中国结算于</w:t>
      </w:r>
      <w:r w:rsidRPr="0081097B">
        <w:rPr>
          <w:rFonts w:ascii="微软雅黑" w:eastAsia="微软雅黑" w:hAnsi="微软雅黑"/>
          <w:sz w:val="24"/>
          <w:szCs w:val="24"/>
        </w:rPr>
        <w:t>2013</w:t>
      </w:r>
      <w:r w:rsidRPr="0081097B">
        <w:rPr>
          <w:rFonts w:ascii="微软雅黑" w:eastAsia="微软雅黑" w:hAnsi="微软雅黑" w:hint="eastAsia"/>
          <w:sz w:val="24"/>
          <w:szCs w:val="24"/>
        </w:rPr>
        <w:t>年</w:t>
      </w:r>
      <w:r w:rsidRPr="0081097B">
        <w:rPr>
          <w:rFonts w:ascii="微软雅黑" w:eastAsia="微软雅黑" w:hAnsi="微软雅黑"/>
          <w:sz w:val="24"/>
          <w:szCs w:val="24"/>
        </w:rPr>
        <w:t>3</w:t>
      </w:r>
      <w:r w:rsidRPr="0081097B">
        <w:rPr>
          <w:rFonts w:ascii="微软雅黑" w:eastAsia="微软雅黑" w:hAnsi="微软雅黑" w:hint="eastAsia"/>
          <w:sz w:val="24"/>
          <w:szCs w:val="24"/>
        </w:rPr>
        <w:t>月发布《证券账户非现场开户实施暂行办法》，第三章第十五条指出，自然人投资者申请开立证券账户，可以通过网上开户方式办理。</w:t>
      </w:r>
    </w:p>
    <w:p w:rsidR="00F37118" w:rsidRDefault="00F37118" w:rsidP="0081097B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至此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网上开户业务将在行业内全面展开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各家证券公司争先建设相应的信息系统以支持网上开户业务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946DAC" w:rsidRPr="00946DAC" w:rsidRDefault="00946DAC" w:rsidP="00946DAC">
      <w:pPr>
        <w:ind w:firstLine="420"/>
        <w:rPr>
          <w:rFonts w:ascii="微软雅黑" w:eastAsia="微软雅黑" w:hAnsi="微软雅黑"/>
          <w:sz w:val="24"/>
          <w:szCs w:val="24"/>
        </w:rPr>
      </w:pPr>
      <w:r w:rsidRPr="00946DAC">
        <w:rPr>
          <w:rFonts w:ascii="微软雅黑" w:eastAsia="微软雅黑" w:hAnsi="微软雅黑" w:hint="eastAsia"/>
          <w:sz w:val="24"/>
          <w:szCs w:val="24"/>
        </w:rPr>
        <w:t>网上开户，即通过证券公司网上开户系统操作并经证券公司审核、回访确认后</w:t>
      </w:r>
      <w:r>
        <w:rPr>
          <w:rFonts w:ascii="微软雅黑" w:eastAsia="微软雅黑" w:hAnsi="微软雅黑" w:hint="eastAsia"/>
          <w:sz w:val="24"/>
          <w:szCs w:val="24"/>
        </w:rPr>
        <w:t>完成账户开立，这样客户无需再临柜办理开户的业务。网上开户系统是</w:t>
      </w:r>
      <w:r w:rsidRPr="00946DAC">
        <w:rPr>
          <w:rFonts w:ascii="微软雅黑" w:eastAsia="微软雅黑" w:hAnsi="微软雅黑" w:hint="eastAsia"/>
          <w:sz w:val="24"/>
          <w:szCs w:val="24"/>
        </w:rPr>
        <w:t>客户在证券公司网上自助录入资料及影像上传等操作，经过柜员在后台审核，回访确认后完成账户开立的开户方式。</w:t>
      </w:r>
    </w:p>
    <w:p w:rsidR="00D7779B" w:rsidRPr="00C835C8" w:rsidRDefault="003554BC" w:rsidP="00C835C8">
      <w:pPr>
        <w:pStyle w:val="1"/>
        <w:numPr>
          <w:ilvl w:val="0"/>
          <w:numId w:val="1"/>
        </w:numPr>
      </w:pPr>
      <w:r>
        <w:t>建设</w:t>
      </w:r>
      <w:r w:rsidR="00790470" w:rsidRPr="00C835C8">
        <w:t>目标</w:t>
      </w:r>
    </w:p>
    <w:p w:rsidR="00790470" w:rsidRDefault="00751FDD" w:rsidP="003710D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710D4">
        <w:rPr>
          <w:rFonts w:ascii="微软雅黑" w:eastAsia="微软雅黑" w:hAnsi="微软雅黑" w:hint="eastAsia"/>
          <w:sz w:val="24"/>
          <w:szCs w:val="24"/>
        </w:rPr>
        <w:t>实现投资者在</w:t>
      </w:r>
      <w:r w:rsidR="00E50B18">
        <w:rPr>
          <w:rFonts w:ascii="微软雅黑" w:eastAsia="微软雅黑" w:hAnsi="微软雅黑" w:hint="eastAsia"/>
          <w:sz w:val="24"/>
          <w:szCs w:val="24"/>
        </w:rPr>
        <w:t>网页端</w:t>
      </w:r>
      <w:r w:rsidRPr="003710D4">
        <w:rPr>
          <w:rFonts w:ascii="微软雅黑" w:eastAsia="微软雅黑" w:hAnsi="微软雅黑" w:hint="eastAsia"/>
          <w:sz w:val="24"/>
          <w:szCs w:val="24"/>
        </w:rPr>
        <w:t>和APP</w:t>
      </w:r>
      <w:proofErr w:type="gramStart"/>
      <w:r w:rsidRPr="003710D4">
        <w:rPr>
          <w:rFonts w:ascii="微软雅黑" w:eastAsia="微软雅黑" w:hAnsi="微软雅黑" w:hint="eastAsia"/>
          <w:sz w:val="24"/>
          <w:szCs w:val="24"/>
        </w:rPr>
        <w:t>端办理</w:t>
      </w:r>
      <w:proofErr w:type="gramEnd"/>
      <w:r w:rsidRPr="003710D4">
        <w:rPr>
          <w:rFonts w:ascii="微软雅黑" w:eastAsia="微软雅黑" w:hAnsi="微软雅黑" w:hint="eastAsia"/>
          <w:sz w:val="24"/>
          <w:szCs w:val="24"/>
        </w:rPr>
        <w:t>开户业务</w:t>
      </w:r>
    </w:p>
    <w:p w:rsidR="00321643" w:rsidRPr="003710D4" w:rsidRDefault="00321643" w:rsidP="003710D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710D4">
        <w:rPr>
          <w:rFonts w:ascii="微软雅黑" w:eastAsia="微软雅黑" w:hAnsi="微软雅黑" w:hint="eastAsia"/>
          <w:sz w:val="24"/>
          <w:szCs w:val="24"/>
        </w:rPr>
        <w:t>系统设计灵活、支持业务流程和功能的扩展</w:t>
      </w:r>
    </w:p>
    <w:p w:rsidR="00751FDD" w:rsidRPr="00321643" w:rsidRDefault="00751FDD" w:rsidP="004826E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21643">
        <w:rPr>
          <w:rFonts w:ascii="微软雅黑" w:eastAsia="微软雅黑" w:hAnsi="微软雅黑" w:hint="eastAsia"/>
          <w:sz w:val="24"/>
          <w:szCs w:val="24"/>
        </w:rPr>
        <w:t>保障系统的可靠性、安全性和稳定性</w:t>
      </w:r>
    </w:p>
    <w:p w:rsidR="00751FDD" w:rsidRDefault="00751FDD" w:rsidP="003710D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710D4">
        <w:rPr>
          <w:rFonts w:ascii="微软雅黑" w:eastAsia="微软雅黑" w:hAnsi="微软雅黑"/>
          <w:sz w:val="24"/>
          <w:szCs w:val="24"/>
        </w:rPr>
        <w:t>支持投资者</w:t>
      </w:r>
      <w:r w:rsidRPr="003710D4">
        <w:rPr>
          <w:rFonts w:ascii="微软雅黑" w:eastAsia="微软雅黑" w:hAnsi="微软雅黑" w:hint="eastAsia"/>
          <w:sz w:val="24"/>
          <w:szCs w:val="24"/>
        </w:rPr>
        <w:t>7*</w:t>
      </w:r>
      <w:r w:rsidRPr="003710D4">
        <w:rPr>
          <w:rFonts w:ascii="微软雅黑" w:eastAsia="微软雅黑" w:hAnsi="微软雅黑"/>
          <w:sz w:val="24"/>
          <w:szCs w:val="24"/>
        </w:rPr>
        <w:t>24小时线上办理</w:t>
      </w:r>
    </w:p>
    <w:p w:rsidR="00751FDD" w:rsidRDefault="00751FDD" w:rsidP="003710D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710D4">
        <w:rPr>
          <w:rFonts w:ascii="微软雅黑" w:eastAsia="微软雅黑" w:hAnsi="微软雅黑"/>
          <w:sz w:val="24"/>
          <w:szCs w:val="24"/>
        </w:rPr>
        <w:lastRenderedPageBreak/>
        <w:t>满足</w:t>
      </w:r>
      <w:r w:rsidR="003710D4" w:rsidRPr="003710D4">
        <w:rPr>
          <w:rFonts w:ascii="微软雅黑" w:eastAsia="微软雅黑" w:hAnsi="微软雅黑"/>
          <w:sz w:val="24"/>
          <w:szCs w:val="24"/>
        </w:rPr>
        <w:t>每个交易日开</w:t>
      </w:r>
      <w:r w:rsidR="001B3EBA">
        <w:rPr>
          <w:rFonts w:ascii="微软雅黑" w:eastAsia="微软雅黑" w:hAnsi="微软雅黑"/>
          <w:sz w:val="24"/>
          <w:szCs w:val="24"/>
        </w:rPr>
        <w:t>5</w:t>
      </w:r>
      <w:r w:rsidRPr="003710D4">
        <w:rPr>
          <w:rFonts w:ascii="微软雅黑" w:eastAsia="微软雅黑" w:hAnsi="微软雅黑"/>
          <w:sz w:val="24"/>
          <w:szCs w:val="24"/>
        </w:rPr>
        <w:t>000个</w:t>
      </w:r>
      <w:r w:rsidR="003710D4" w:rsidRPr="003710D4">
        <w:rPr>
          <w:rFonts w:ascii="微软雅黑" w:eastAsia="微软雅黑" w:hAnsi="微软雅黑"/>
          <w:sz w:val="24"/>
          <w:szCs w:val="24"/>
        </w:rPr>
        <w:t>客户的性能要求</w:t>
      </w:r>
    </w:p>
    <w:p w:rsidR="00321643" w:rsidRPr="003710D4" w:rsidRDefault="00321643" w:rsidP="003710D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为运营人员提供便利的查询与统计功能</w:t>
      </w:r>
    </w:p>
    <w:p w:rsidR="00790470" w:rsidRPr="00560DBF" w:rsidRDefault="00E50B18" w:rsidP="00560DBF">
      <w:pPr>
        <w:pStyle w:val="1"/>
        <w:numPr>
          <w:ilvl w:val="0"/>
          <w:numId w:val="1"/>
        </w:numPr>
      </w:pPr>
      <w:r>
        <w:t>业务</w:t>
      </w:r>
      <w:r w:rsidR="00790470" w:rsidRPr="00560DBF">
        <w:t>范围</w:t>
      </w:r>
    </w:p>
    <w:p w:rsidR="00790470" w:rsidRDefault="00E50B18" w:rsidP="00E50B18">
      <w:pPr>
        <w:pStyle w:val="2"/>
        <w:numPr>
          <w:ilvl w:val="1"/>
          <w:numId w:val="3"/>
        </w:numPr>
      </w:pPr>
      <w:r>
        <w:t>投资者线上办理网上开户</w:t>
      </w:r>
    </w:p>
    <w:p w:rsidR="00E50B18" w:rsidRDefault="00E50B18" w:rsidP="005441E1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系统提供网页端和APP</w:t>
      </w:r>
      <w:proofErr w:type="gramStart"/>
      <w:r>
        <w:rPr>
          <w:rFonts w:ascii="微软雅黑" w:eastAsia="微软雅黑" w:hAnsi="微软雅黑"/>
          <w:sz w:val="24"/>
          <w:szCs w:val="24"/>
        </w:rPr>
        <w:t>端两种</w:t>
      </w:r>
      <w:proofErr w:type="gramEnd"/>
      <w:r>
        <w:rPr>
          <w:rFonts w:ascii="微软雅黑" w:eastAsia="微软雅黑" w:hAnsi="微软雅黑"/>
          <w:sz w:val="24"/>
          <w:szCs w:val="24"/>
        </w:rPr>
        <w:t>开户渠道</w:t>
      </w:r>
      <w:r w:rsidR="00DB3A73">
        <w:rPr>
          <w:rFonts w:ascii="微软雅黑" w:eastAsia="微软雅黑" w:hAnsi="微软雅黑" w:hint="eastAsia"/>
          <w:sz w:val="24"/>
          <w:szCs w:val="24"/>
        </w:rPr>
        <w:t>。</w:t>
      </w:r>
    </w:p>
    <w:p w:rsidR="00E50B18" w:rsidRPr="008D33F0" w:rsidRDefault="008D33F0" w:rsidP="008D33F0">
      <w:pPr>
        <w:pStyle w:val="2"/>
        <w:numPr>
          <w:ilvl w:val="1"/>
          <w:numId w:val="3"/>
        </w:numPr>
      </w:pPr>
      <w:r w:rsidRPr="008D33F0">
        <w:t>总部集中审核</w:t>
      </w:r>
    </w:p>
    <w:p w:rsidR="008D33F0" w:rsidRDefault="00AD7445" w:rsidP="00AD7445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投资者</w:t>
      </w:r>
      <w:r>
        <w:rPr>
          <w:rFonts w:ascii="微软雅黑" w:eastAsia="微软雅黑" w:hAnsi="微软雅黑" w:hint="eastAsia"/>
          <w:sz w:val="24"/>
          <w:szCs w:val="24"/>
        </w:rPr>
        <w:t>录入开户资料后，总部审核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岗能够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查询并对资料进行审核。</w:t>
      </w:r>
    </w:p>
    <w:p w:rsidR="008D33F0" w:rsidRPr="008D33F0" w:rsidRDefault="008D33F0" w:rsidP="008D33F0">
      <w:pPr>
        <w:pStyle w:val="2"/>
        <w:numPr>
          <w:ilvl w:val="1"/>
          <w:numId w:val="3"/>
        </w:numPr>
      </w:pPr>
      <w:r>
        <w:t>中台账户管理</w:t>
      </w:r>
    </w:p>
    <w:p w:rsidR="008D33F0" w:rsidRDefault="00AD7445" w:rsidP="00AD7445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提供客户账户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资金账户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="008A0CC5">
        <w:rPr>
          <w:rFonts w:ascii="微软雅黑" w:eastAsia="微软雅黑" w:hAnsi="微软雅黑"/>
          <w:sz w:val="24"/>
          <w:szCs w:val="24"/>
        </w:rPr>
        <w:t>存管</w:t>
      </w:r>
      <w:r>
        <w:rPr>
          <w:rFonts w:ascii="微软雅黑" w:eastAsia="微软雅黑" w:hAnsi="微软雅黑"/>
          <w:sz w:val="24"/>
          <w:szCs w:val="24"/>
        </w:rPr>
        <w:t>账户</w:t>
      </w:r>
      <w:r>
        <w:rPr>
          <w:rFonts w:ascii="微软雅黑" w:eastAsia="微软雅黑" w:hAnsi="微软雅黑" w:hint="eastAsia"/>
          <w:sz w:val="24"/>
          <w:szCs w:val="24"/>
        </w:rPr>
        <w:t>和</w:t>
      </w:r>
      <w:r w:rsidR="00DF5C8D">
        <w:rPr>
          <w:rFonts w:ascii="微软雅黑" w:eastAsia="微软雅黑" w:hAnsi="微软雅黑"/>
          <w:sz w:val="24"/>
          <w:szCs w:val="24"/>
        </w:rPr>
        <w:t>证券</w:t>
      </w:r>
      <w:r>
        <w:rPr>
          <w:rFonts w:ascii="微软雅黑" w:eastAsia="微软雅黑" w:hAnsi="微软雅黑"/>
          <w:sz w:val="24"/>
          <w:szCs w:val="24"/>
        </w:rPr>
        <w:t>账户的开立</w:t>
      </w:r>
      <w:r>
        <w:rPr>
          <w:rFonts w:ascii="微软雅黑" w:eastAsia="微软雅黑" w:hAnsi="微软雅黑" w:hint="eastAsia"/>
          <w:sz w:val="24"/>
          <w:szCs w:val="24"/>
        </w:rPr>
        <w:t>、查询和统计功能。</w:t>
      </w:r>
    </w:p>
    <w:p w:rsidR="008D33F0" w:rsidRPr="008D33F0" w:rsidRDefault="008D33F0" w:rsidP="008D33F0">
      <w:pPr>
        <w:pStyle w:val="2"/>
        <w:numPr>
          <w:ilvl w:val="1"/>
          <w:numId w:val="3"/>
        </w:numPr>
      </w:pPr>
      <w:r>
        <w:t>后台运营</w:t>
      </w:r>
      <w:r w:rsidRPr="008D33F0">
        <w:t>管理</w:t>
      </w:r>
    </w:p>
    <w:p w:rsidR="008D33F0" w:rsidRPr="00790470" w:rsidRDefault="00AD7445" w:rsidP="00AD7445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提供员工账号的管理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岗位管理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权限管理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密码管理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系统参数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数据字典维护</w:t>
      </w:r>
      <w:r w:rsidR="00924574">
        <w:rPr>
          <w:rFonts w:ascii="微软雅黑" w:eastAsia="微软雅黑" w:hAnsi="微软雅黑" w:hint="eastAsia"/>
          <w:sz w:val="24"/>
          <w:szCs w:val="24"/>
        </w:rPr>
        <w:t>、</w:t>
      </w:r>
      <w:r w:rsidR="00924574">
        <w:rPr>
          <w:rFonts w:ascii="微软雅黑" w:eastAsia="微软雅黑" w:hAnsi="微软雅黑"/>
          <w:sz w:val="24"/>
          <w:szCs w:val="24"/>
        </w:rPr>
        <w:t>机构设置</w:t>
      </w:r>
      <w:r>
        <w:rPr>
          <w:rFonts w:ascii="微软雅黑" w:eastAsia="微软雅黑" w:hAnsi="微软雅黑"/>
          <w:sz w:val="24"/>
          <w:szCs w:val="24"/>
        </w:rPr>
        <w:t>等功能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790470" w:rsidRPr="004934AC" w:rsidRDefault="00790470" w:rsidP="004934AC">
      <w:pPr>
        <w:pStyle w:val="1"/>
        <w:numPr>
          <w:ilvl w:val="0"/>
          <w:numId w:val="1"/>
        </w:numPr>
      </w:pPr>
      <w:r w:rsidRPr="004934AC">
        <w:lastRenderedPageBreak/>
        <w:t>总体需求</w:t>
      </w:r>
    </w:p>
    <w:p w:rsidR="00790470" w:rsidRDefault="00790470" w:rsidP="00E936F0">
      <w:pPr>
        <w:pStyle w:val="2"/>
        <w:numPr>
          <w:ilvl w:val="1"/>
          <w:numId w:val="12"/>
        </w:numPr>
      </w:pPr>
      <w:r w:rsidRPr="004934AC">
        <w:rPr>
          <w:rFonts w:hint="eastAsia"/>
        </w:rPr>
        <w:t>业务需求</w:t>
      </w:r>
    </w:p>
    <w:p w:rsidR="00E936F0" w:rsidRPr="00E936F0" w:rsidRDefault="002E5995" w:rsidP="00E936F0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B680439" wp14:editId="32D98D74">
            <wp:extent cx="5274310" cy="57480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F0" w:rsidRDefault="00E936F0" w:rsidP="00E936F0">
      <w:pPr>
        <w:rPr>
          <w:rFonts w:ascii="微软雅黑" w:eastAsia="微软雅黑" w:hAnsi="微软雅黑"/>
          <w:sz w:val="24"/>
          <w:szCs w:val="24"/>
        </w:rPr>
      </w:pPr>
    </w:p>
    <w:p w:rsidR="00431B62" w:rsidRDefault="00431B62" w:rsidP="00E936F0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开户资料分为</w:t>
      </w:r>
      <w:r>
        <w:rPr>
          <w:rFonts w:ascii="微软雅黑" w:eastAsia="微软雅黑" w:hAnsi="微软雅黑" w:hint="eastAsia"/>
          <w:sz w:val="24"/>
          <w:szCs w:val="24"/>
        </w:rPr>
        <w:t>：身份信息、风险测评、开户信息、</w:t>
      </w:r>
      <w:r>
        <w:rPr>
          <w:rFonts w:ascii="微软雅黑" w:eastAsia="微软雅黑" w:hAnsi="微软雅黑"/>
          <w:sz w:val="24"/>
          <w:szCs w:val="24"/>
        </w:rPr>
        <w:t>影像资料</w:t>
      </w:r>
      <w:r w:rsidR="009A3011">
        <w:rPr>
          <w:rFonts w:ascii="微软雅黑" w:eastAsia="微软雅黑" w:hAnsi="微软雅黑" w:hint="eastAsia"/>
          <w:sz w:val="24"/>
          <w:szCs w:val="24"/>
        </w:rPr>
        <w:t>。</w:t>
      </w:r>
      <w:bookmarkStart w:id="0" w:name="_GoBack"/>
      <w:bookmarkEnd w:id="0"/>
    </w:p>
    <w:p w:rsidR="00431B62" w:rsidRDefault="00431B62" w:rsidP="00E936F0">
      <w:pPr>
        <w:rPr>
          <w:rFonts w:ascii="微软雅黑" w:eastAsia="微软雅黑" w:hAnsi="微软雅黑" w:hint="eastAsia"/>
          <w:sz w:val="24"/>
          <w:szCs w:val="24"/>
        </w:rPr>
      </w:pPr>
    </w:p>
    <w:p w:rsidR="004D77EC" w:rsidRDefault="004D77EC" w:rsidP="00E936F0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6C9FEA" wp14:editId="7D5D5784">
            <wp:extent cx="5274310" cy="3972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7EC" w:rsidRPr="00E936F0" w:rsidRDefault="004D77EC" w:rsidP="00E936F0">
      <w:pPr>
        <w:rPr>
          <w:rFonts w:ascii="微软雅黑" w:eastAsia="微软雅黑" w:hAnsi="微软雅黑"/>
          <w:sz w:val="24"/>
          <w:szCs w:val="24"/>
        </w:rPr>
      </w:pPr>
    </w:p>
    <w:p w:rsidR="00790470" w:rsidRDefault="00790470" w:rsidP="00E936F0">
      <w:pPr>
        <w:pStyle w:val="2"/>
        <w:numPr>
          <w:ilvl w:val="1"/>
          <w:numId w:val="12"/>
        </w:numPr>
      </w:pPr>
      <w:r w:rsidRPr="004934AC">
        <w:rPr>
          <w:rFonts w:hint="eastAsia"/>
        </w:rPr>
        <w:t>功能需求</w:t>
      </w:r>
    </w:p>
    <w:p w:rsidR="00E936F0" w:rsidRDefault="00132B26" w:rsidP="00E936F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系统参数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公共参数设置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系统数据字典</w:t>
      </w:r>
    </w:p>
    <w:p w:rsidR="00132B26" w:rsidRDefault="00132B26" w:rsidP="00E936F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机构设置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证券公司的营业网点设置</w:t>
      </w:r>
    </w:p>
    <w:p w:rsidR="00132B26" w:rsidRDefault="00132B26" w:rsidP="00E936F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员工资料管理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员工开户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资料变更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员工资料列表查询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密码设置</w:t>
      </w:r>
    </w:p>
    <w:p w:rsidR="00132B26" w:rsidRDefault="00132B26" w:rsidP="00E936F0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权限管理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081EC5">
        <w:rPr>
          <w:rFonts w:ascii="微软雅黑" w:eastAsia="微软雅黑" w:hAnsi="微软雅黑" w:hint="eastAsia"/>
          <w:sz w:val="24"/>
          <w:szCs w:val="24"/>
        </w:rPr>
        <w:t>岗位权限管理、</w:t>
      </w:r>
      <w:r>
        <w:rPr>
          <w:rFonts w:ascii="微软雅黑" w:eastAsia="微软雅黑" w:hAnsi="微软雅黑"/>
          <w:sz w:val="24"/>
          <w:szCs w:val="24"/>
        </w:rPr>
        <w:t>菜单权限管理</w:t>
      </w:r>
    </w:p>
    <w:p w:rsidR="00E936F0" w:rsidRPr="00E936F0" w:rsidRDefault="00132B26" w:rsidP="00E936F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操作流水查询</w:t>
      </w:r>
    </w:p>
    <w:p w:rsidR="004934AC" w:rsidRDefault="004934AC" w:rsidP="004934AC">
      <w:pPr>
        <w:pStyle w:val="1"/>
        <w:numPr>
          <w:ilvl w:val="0"/>
          <w:numId w:val="1"/>
        </w:numPr>
      </w:pPr>
      <w:r w:rsidRPr="004934AC">
        <w:t>其他</w:t>
      </w:r>
    </w:p>
    <w:p w:rsidR="00E936F0" w:rsidRPr="00E936F0" w:rsidRDefault="00E936F0" w:rsidP="00E936F0">
      <w:pPr>
        <w:rPr>
          <w:rFonts w:ascii="微软雅黑" w:eastAsia="微软雅黑" w:hAnsi="微软雅黑"/>
          <w:sz w:val="24"/>
          <w:szCs w:val="24"/>
        </w:rPr>
      </w:pPr>
      <w:r w:rsidRPr="00E936F0">
        <w:rPr>
          <w:rFonts w:ascii="微软雅黑" w:eastAsia="微软雅黑" w:hAnsi="微软雅黑"/>
          <w:sz w:val="24"/>
          <w:szCs w:val="24"/>
        </w:rPr>
        <w:t>无</w:t>
      </w:r>
    </w:p>
    <w:sectPr w:rsidR="00E936F0" w:rsidRPr="00E93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22B33"/>
    <w:multiLevelType w:val="hybridMultilevel"/>
    <w:tmpl w:val="1D2C62E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2E556D2"/>
    <w:multiLevelType w:val="multilevel"/>
    <w:tmpl w:val="7F6A91A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277E5894"/>
    <w:multiLevelType w:val="multilevel"/>
    <w:tmpl w:val="DF82247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27935F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9781932"/>
    <w:multiLevelType w:val="hybridMultilevel"/>
    <w:tmpl w:val="B7DE44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FA2F0F"/>
    <w:multiLevelType w:val="multilevel"/>
    <w:tmpl w:val="1DEC2C9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2F911276"/>
    <w:multiLevelType w:val="multilevel"/>
    <w:tmpl w:val="A4DE5E2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3C4C6175"/>
    <w:multiLevelType w:val="multilevel"/>
    <w:tmpl w:val="A4DE5E2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4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28A20B6"/>
    <w:multiLevelType w:val="multilevel"/>
    <w:tmpl w:val="B638261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6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none"/>
        <w:lvlText w:val="4.1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5">
    <w:abstractNumId w:val="6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none"/>
        <w:lvlText w:val="4.1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6">
    <w:abstractNumId w:val="5"/>
  </w:num>
  <w:num w:numId="7">
    <w:abstractNumId w:val="8"/>
  </w:num>
  <w:num w:numId="8">
    <w:abstractNumId w:val="3"/>
  </w:num>
  <w:num w:numId="9">
    <w:abstractNumId w:val="3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4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0">
    <w:abstractNumId w:val="7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7A2"/>
    <w:rsid w:val="00081EC5"/>
    <w:rsid w:val="00123F3D"/>
    <w:rsid w:val="00132B26"/>
    <w:rsid w:val="001B3EBA"/>
    <w:rsid w:val="002E5995"/>
    <w:rsid w:val="00321643"/>
    <w:rsid w:val="003554BC"/>
    <w:rsid w:val="003710D4"/>
    <w:rsid w:val="00431B62"/>
    <w:rsid w:val="004934AC"/>
    <w:rsid w:val="004D77EC"/>
    <w:rsid w:val="005441E1"/>
    <w:rsid w:val="00560DBF"/>
    <w:rsid w:val="00751FDD"/>
    <w:rsid w:val="00790470"/>
    <w:rsid w:val="0081097B"/>
    <w:rsid w:val="008A0CC5"/>
    <w:rsid w:val="008D33F0"/>
    <w:rsid w:val="00917B18"/>
    <w:rsid w:val="00924574"/>
    <w:rsid w:val="00946DAC"/>
    <w:rsid w:val="009A3011"/>
    <w:rsid w:val="00AD7445"/>
    <w:rsid w:val="00B07D57"/>
    <w:rsid w:val="00B456D6"/>
    <w:rsid w:val="00B917A2"/>
    <w:rsid w:val="00C835C8"/>
    <w:rsid w:val="00CB4C4C"/>
    <w:rsid w:val="00CC3CDD"/>
    <w:rsid w:val="00D7779B"/>
    <w:rsid w:val="00DB3A73"/>
    <w:rsid w:val="00DF5C8D"/>
    <w:rsid w:val="00E50B18"/>
    <w:rsid w:val="00E936F0"/>
    <w:rsid w:val="00E97A9B"/>
    <w:rsid w:val="00F3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C05DA-1C15-4E28-928B-4AE7132EA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09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0B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097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710D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50B1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0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116</Words>
  <Characters>664</Characters>
  <Application>Microsoft Office Word</Application>
  <DocSecurity>0</DocSecurity>
  <Lines>5</Lines>
  <Paragraphs>1</Paragraphs>
  <ScaleCrop>false</ScaleCrop>
  <Company>Microsoft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zhangxp</dc:creator>
  <cp:keywords/>
  <dc:description/>
  <cp:lastModifiedBy>zhangxp</cp:lastModifiedBy>
  <cp:revision>33</cp:revision>
  <dcterms:created xsi:type="dcterms:W3CDTF">2019-06-02T08:46:00Z</dcterms:created>
  <dcterms:modified xsi:type="dcterms:W3CDTF">2019-06-03T11:57:00Z</dcterms:modified>
</cp:coreProperties>
</file>