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D45C2">
      <w:pPr>
        <w:widowControl/>
        <w:spacing w:line="300" w:lineRule="auto" w:before="0" w:after="0"/>
        <w:ind w:firstLine="480"/>
        <w:jc w:val="both"/>
      </w:pPr>
      <w:r>
        <w:rPr>
          <w:rFonts w:ascii="Times New Roman" w:hAnsi="Times New Roman" w:cs="宋体" w:eastAsia="宋体"/>
          <w:kern w:val="0"/>
          <w:sz w:val="24"/>
          <w:lang w:bidi="ar"/>
        </w:rPr>
        <w:fldChar w:fldCharType="begin"/>
      </w:r>
      <w:r>
        <w:rPr>
          <w:rFonts w:ascii="Times New Roman" w:hAnsi="Times New Roman" w:cs="宋体" w:eastAsia="宋体"/>
          <w:kern w:val="0"/>
          <w:sz w:val="24"/>
          <w:lang w:bidi="ar"/>
        </w:rPr>
        <w:instrText xml:space="preserve">INCLUDEPICTURE \d "C:\\Users\\wxm320\\AppData\\Roaming\\Tencent\\Users\\790582784\\QQ\\WinTemp\\RichOle\\Y{$CXF)N)L0QVKY6IPQGW~K.png" \* MERGEFORMATINET </w:instrText>
      </w:r>
      <w:r>
        <w:rPr>
          <w:rFonts w:ascii="Times New Roman" w:hAnsi="Times New Roman" w:cs="宋体" w:eastAsia="宋体"/>
          <w:kern w:val="0"/>
          <w:sz w:val="24"/>
          <w:lang w:bidi="ar"/>
        </w:rPr>
        <w:fldChar w:fldCharType="separate"/>
      </w:r>
      <w:r>
        <w:rPr>
          <w:rFonts w:ascii="Times New Roman" w:hAnsi="Times New Roman" w:cs="宋体" w:eastAsia="宋体"/>
          <w:kern w:val="0"/>
          <w:sz w:val="24"/>
          <w:lang w:bidi="ar"/>
        </w:rPr>
        <w:drawing>
          <wp:inline distT="0" distB="0" distL="114300" distR="114300">
            <wp:extent cx="5299075" cy="1466850"/>
            <wp:effectExtent l="0" t="0" r="444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宋体" w:eastAsia="宋体"/>
          <w:kern w:val="0"/>
          <w:sz w:val="24"/>
          <w:lang w:bidi="ar"/>
        </w:rPr>
        <w:fldChar w:fldCharType="end"/>
      </w:r>
    </w:p>
    <w:p w14:paraId="05C33040">
      <w:pPr>
        <w:spacing w:line="300" w:lineRule="auto"/>
        <w:ind w:firstLine="0"/>
        <w:jc w:val="center"/>
        <w:rPr>
          <w:rFonts w:hint="eastAsia" w:ascii="黑体" w:hAnsi="黑体" w:eastAsia="黑体"/>
          <w:b/>
          <w:bCs/>
          <w:sz w:val="44"/>
          <w:szCs w:val="44"/>
        </w:rPr>
      </w:pPr>
      <w:r>
        <w:rPr>
          <w:rFonts w:hint="eastAsia" w:ascii="Times New Roman" w:hAnsi="Times New Roman" w:eastAsia="黑体"/>
          <w:b/>
          <w:bCs/>
          <w:sz w:val="24"/>
          <w:szCs w:val="44"/>
        </w:rPr>
        <w:t>西北民族大学新闻传播学院</w:t>
      </w:r>
    </w:p>
    <w:p w14:paraId="5FB61AB0">
      <w:pPr>
        <w:spacing w:line="300" w:lineRule="auto"/>
        <w:ind w:firstLin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 w:ascii="Times New Roman" w:hAnsi="Times New Roman" w:eastAsia="黑体"/>
          <w:b/>
          <w:bCs/>
          <w:sz w:val="24"/>
          <w:szCs w:val="36"/>
        </w:rPr>
        <w:t>202</w:t>
      </w:r>
      <w:r>
        <w:rPr>
          <w:rFonts w:hint="eastAsia" w:ascii="Times New Roman" w:hAnsi="Times New Roman" w:eastAsia="黑体"/>
          <w:b/>
          <w:bCs/>
          <w:sz w:val="24"/>
          <w:szCs w:val="36"/>
          <w:lang w:val="en-US" w:eastAsia="zh-CN"/>
        </w:rPr>
        <w:t>5</w:t>
      </w:r>
      <w:r>
        <w:rPr>
          <w:rFonts w:hint="eastAsia" w:ascii="Times New Roman" w:hAnsi="Times New Roman" w:eastAsia="黑体"/>
          <w:b/>
          <w:bCs/>
          <w:sz w:val="24"/>
          <w:szCs w:val="36"/>
        </w:rPr>
        <w:t>-202</w:t>
      </w:r>
      <w:r>
        <w:rPr>
          <w:rFonts w:hint="eastAsia" w:ascii="Times New Roman" w:hAnsi="Times New Roman" w:eastAsia="黑体"/>
          <w:b/>
          <w:bCs/>
          <w:sz w:val="24"/>
          <w:szCs w:val="36"/>
          <w:lang w:val="en-US" w:eastAsia="zh-CN"/>
        </w:rPr>
        <w:t>6</w:t>
      </w:r>
      <w:r>
        <w:rPr>
          <w:rFonts w:hint="eastAsia" w:ascii="Times New Roman" w:hAnsi="Times New Roman" w:eastAsia="黑体"/>
          <w:b/>
          <w:bCs/>
          <w:sz w:val="24"/>
          <w:szCs w:val="36"/>
        </w:rPr>
        <w:t>学年第</w:t>
      </w:r>
      <w:r>
        <w:rPr>
          <w:rFonts w:hint="eastAsia" w:ascii="Times New Roman" w:hAnsi="Times New Roman" w:eastAsia="黑体"/>
          <w:b/>
          <w:bCs/>
          <w:sz w:val="24"/>
          <w:szCs w:val="36"/>
          <w:lang w:val="en-US" w:eastAsia="zh-CN"/>
        </w:rPr>
        <w:t>2</w:t>
      </w:r>
      <w:r>
        <w:rPr>
          <w:rFonts w:hint="eastAsia" w:ascii="Times New Roman" w:hAnsi="Times New Roman" w:eastAsia="黑体"/>
          <w:b/>
          <w:bCs/>
          <w:sz w:val="24"/>
          <w:szCs w:val="36"/>
        </w:rPr>
        <w:t>学期</w:t>
      </w:r>
    </w:p>
    <w:p w14:paraId="458806AE">
      <w:pPr>
        <w:spacing w:line="300" w:lineRule="auto"/>
        <w:ind w:firstLine="0"/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Times New Roman" w:hAnsi="Times New Roman" w:cs="宋体" w:eastAsia="黑体"/>
          <w:b/>
          <w:bCs/>
          <w:sz w:val="24"/>
          <w:szCs w:val="52"/>
        </w:rPr>
        <w:t>《</w:t>
      </w:r>
      <w:r>
        <w:rPr>
          <w:rFonts w:hint="eastAsia" w:ascii="Times New Roman" w:hAnsi="Times New Roman" w:cs="宋体" w:eastAsia="黑体"/>
          <w:b/>
          <w:bCs/>
          <w:sz w:val="24"/>
          <w:szCs w:val="52"/>
          <w:lang w:val="en-US" w:eastAsia="zh-CN"/>
        </w:rPr>
        <w:t>跨文化传播</w:t>
      </w:r>
      <w:r>
        <w:rPr>
          <w:rFonts w:hint="eastAsia" w:ascii="Times New Roman" w:hAnsi="Times New Roman" w:cs="宋体" w:eastAsia="黑体"/>
          <w:b/>
          <w:bCs/>
          <w:sz w:val="24"/>
          <w:szCs w:val="52"/>
        </w:rPr>
        <w:t>》</w:t>
      </w:r>
    </w:p>
    <w:p w14:paraId="3A8F099A">
      <w:pPr>
        <w:spacing w:line="300" w:lineRule="auto"/>
        <w:ind w:firstLine="0"/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Times New Roman" w:hAnsi="Times New Roman" w:cs="宋体" w:eastAsia="黑体"/>
          <w:b/>
          <w:bCs/>
          <w:sz w:val="24"/>
          <w:szCs w:val="52"/>
        </w:rPr>
        <w:t>课程作业</w:t>
      </w:r>
    </w:p>
    <w:p w14:paraId="3D423402">
      <w:pPr>
        <w:spacing w:line="300" w:lineRule="auto"/>
        <w:ind w:firstLine="0"/>
        <w:rPr>
          <w:rFonts w:hint="eastAsia" w:eastAsia="宋体"/>
          <w:b/>
          <w:bCs/>
          <w:sz w:val="36"/>
          <w:szCs w:val="36"/>
          <w:lang w:eastAsia="zh-CN"/>
        </w:rPr>
      </w:pPr>
      <w:r>
        <w:rPr>
          <w:rFonts w:hint="eastAsia" w:ascii="Times New Roman" w:hAnsi="Times New Roman" w:eastAsia="黑体"/>
          <w:b/>
          <w:bCs/>
          <w:sz w:val="24"/>
          <w:szCs w:val="36"/>
        </w:rPr>
        <w:t>班级：</w:t>
      </w:r>
      <w:r>
        <w:rPr>
          <w:rFonts w:hint="eastAsia" w:ascii="Times New Roman" w:hAnsi="Times New Roman" w:eastAsia="黑体"/>
          <w:b/>
          <w:bCs/>
          <w:sz w:val="24"/>
          <w:szCs w:val="36"/>
          <w:lang w:eastAsia="zh-CN"/>
        </w:rPr>
        <w:t>2024级新闻学</w:t>
      </w:r>
      <w:r>
        <w:rPr>
          <w:rFonts w:hint="eastAsia" w:ascii="Times New Roman" w:hAnsi="Times New Roman" w:eastAsia="黑体"/>
          <w:b/>
          <w:bCs/>
          <w:sz w:val="24"/>
          <w:szCs w:val="36"/>
          <w:lang w:val="en-US" w:eastAsia="zh-CN"/>
        </w:rPr>
        <w:t>3</w:t>
      </w:r>
      <w:r>
        <w:rPr>
          <w:rFonts w:hint="eastAsia" w:ascii="Times New Roman" w:hAnsi="Times New Roman" w:eastAsia="黑体"/>
          <w:b/>
          <w:bCs/>
          <w:sz w:val="24"/>
          <w:szCs w:val="36"/>
          <w:lang w:eastAsia="zh-CN"/>
        </w:rPr>
        <w:t>班</w:t>
      </w:r>
    </w:p>
    <w:p w14:paraId="1C17AA57">
      <w:pPr>
        <w:spacing w:line="300" w:lineRule="auto"/>
        <w:ind w:firstLine="0"/>
        <w:rPr>
          <w:rFonts w:hint="eastAsia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/>
          <w:b/>
          <w:bCs/>
          <w:sz w:val="24"/>
          <w:szCs w:val="36"/>
        </w:rPr>
        <w:t>姓名：</w:t>
      </w:r>
      <w:r>
        <w:rPr>
          <w:rFonts w:hint="eastAsia" w:ascii="Times New Roman" w:hAnsi="Times New Roman" w:eastAsia="黑体"/>
          <w:b/>
          <w:bCs/>
          <w:sz w:val="24"/>
          <w:szCs w:val="36"/>
          <w:lang w:val="en-US" w:eastAsia="zh-CN"/>
        </w:rPr>
        <w:t>高静茹</w:t>
      </w:r>
    </w:p>
    <w:p w14:paraId="41D54F36">
      <w:pPr>
        <w:spacing w:line="300" w:lineRule="auto"/>
        <w:ind w:firstLine="0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/>
          <w:b/>
          <w:bCs/>
          <w:sz w:val="24"/>
          <w:szCs w:val="36"/>
        </w:rPr>
        <w:t>学号：</w:t>
      </w:r>
      <w:r>
        <w:rPr>
          <w:rFonts w:hint="eastAsia" w:ascii="Times New Roman" w:hAnsi="Times New Roman" w:eastAsia="黑体"/>
          <w:b/>
          <w:bCs/>
          <w:sz w:val="24"/>
          <w:szCs w:val="36"/>
          <w:lang w:val="en-US" w:eastAsia="zh-CN"/>
        </w:rPr>
        <w:t>P241012505</w:t>
      </w:r>
    </w:p>
    <w:p w14:paraId="3CF6CD42">
      <w:pPr>
        <w:spacing w:line="300" w:lineRule="auto"/>
        <w:ind w:firstLine="0"/>
        <w:jc w:val="both"/>
        <w:rPr>
          <w:rFonts w:hint="default"/>
          <w:b/>
          <w:bCs/>
          <w:sz w:val="36"/>
          <w:szCs w:val="36"/>
          <w:lang w:val="en-US" w:eastAsia="zh-CN"/>
        </w:rPr>
        <w:sectPr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黑体"/>
          <w:b/>
          <w:bCs/>
          <w:sz w:val="24"/>
          <w:szCs w:val="36"/>
          <w:lang w:val="en-US" w:eastAsia="zh-CN"/>
        </w:rPr>
        <w:t>标题：《</w:t>
      </w:r>
      <w:r>
        <w:rPr>
          <w:rFonts w:hint="eastAsia" w:ascii="Times New Roman" w:hAnsi="Times New Roman" w:eastAsia="黑体"/>
          <w:b/>
          <w:bCs/>
          <w:sz w:val="24"/>
          <w:szCs w:val="36"/>
        </w:rPr>
        <w:t>菊与刀</w:t>
      </w:r>
      <w:r>
        <w:rPr>
          <w:rFonts w:hint="eastAsia" w:ascii="Times New Roman" w:hAnsi="Times New Roman" w:eastAsia="黑体"/>
          <w:b/>
          <w:bCs/>
          <w:sz w:val="24"/>
          <w:szCs w:val="36"/>
          <w:lang w:eastAsia="zh-CN"/>
        </w:rPr>
        <w:t>》</w:t>
      </w:r>
      <w:r>
        <w:rPr>
          <w:rFonts w:hint="eastAsia" w:ascii="Times New Roman" w:hAnsi="Times New Roman" w:eastAsia="黑体"/>
          <w:b/>
          <w:bCs/>
          <w:sz w:val="24"/>
          <w:szCs w:val="36"/>
        </w:rPr>
        <w:t>的</w:t>
      </w:r>
      <w:r>
        <w:rPr>
          <w:rFonts w:hint="eastAsia" w:ascii="Times New Roman" w:hAnsi="Times New Roman" w:eastAsia="黑体"/>
          <w:b/>
          <w:bCs/>
          <w:sz w:val="24"/>
          <w:szCs w:val="36"/>
          <w:lang w:val="en-US" w:eastAsia="zh-CN"/>
        </w:rPr>
        <w:t>日本文化</w:t>
      </w:r>
      <w:r>
        <w:rPr>
          <w:rFonts w:hint="eastAsia" w:ascii="Times New Roman" w:hAnsi="Times New Roman" w:eastAsia="黑体"/>
          <w:b/>
          <w:bCs/>
          <w:sz w:val="24"/>
          <w:szCs w:val="36"/>
        </w:rPr>
        <w:t>：义理、耻感文化与</w:t>
      </w:r>
      <w:r>
        <w:rPr>
          <w:rFonts w:hint="eastAsia" w:ascii="Times New Roman" w:hAnsi="Times New Roman" w:eastAsia="黑体"/>
          <w:b/>
          <w:bCs/>
          <w:sz w:val="24"/>
          <w:szCs w:val="36"/>
          <w:lang w:val="en-US" w:eastAsia="zh-CN"/>
        </w:rPr>
        <w:t>教育</w:t>
      </w:r>
      <w:r>
        <w:rPr>
          <w:rFonts w:hint="eastAsia" w:ascii="Times New Roman" w:hAnsi="Times New Roman" w:eastAsia="黑体"/>
          <w:b/>
          <w:bCs/>
          <w:sz w:val="24"/>
          <w:szCs w:val="36"/>
        </w:rPr>
        <w:t>模式</w:t>
      </w:r>
    </w:p>
    <w:p w14:paraId="1CA6C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Chars="200" w:firstLine="0"/>
        <w:jc w:val="both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 w:ascii="Times New Roman" w:hAnsi="Times New Roman" w:eastAsia="黑体"/>
          <w:b/>
          <w:bCs/>
          <w:sz w:val="24"/>
          <w:szCs w:val="32"/>
          <w:lang w:val="en-US" w:eastAsia="zh-CN"/>
        </w:rPr>
        <w:t>《</w:t>
      </w:r>
      <w:r>
        <w:rPr>
          <w:rFonts w:hint="eastAsia" w:ascii="Times New Roman" w:hAnsi="Times New Roman" w:eastAsia="黑体"/>
          <w:b/>
          <w:bCs/>
          <w:sz w:val="24"/>
          <w:szCs w:val="32"/>
        </w:rPr>
        <w:t>菊与刀</w:t>
      </w:r>
      <w:r>
        <w:rPr>
          <w:rFonts w:hint="eastAsia" w:ascii="Times New Roman" w:hAnsi="Times New Roman" w:eastAsia="黑体"/>
          <w:b/>
          <w:bCs/>
          <w:sz w:val="24"/>
          <w:szCs w:val="32"/>
          <w:lang w:eastAsia="zh-CN"/>
        </w:rPr>
        <w:t>》</w:t>
      </w:r>
      <w:r>
        <w:rPr>
          <w:rFonts w:hint="eastAsia" w:ascii="Times New Roman" w:hAnsi="Times New Roman" w:eastAsia="黑体"/>
          <w:b/>
          <w:bCs/>
          <w:sz w:val="24"/>
          <w:szCs w:val="32"/>
        </w:rPr>
        <w:t>的</w:t>
      </w:r>
      <w:r>
        <w:rPr>
          <w:rFonts w:hint="eastAsia" w:ascii="Times New Roman" w:hAnsi="Times New Roman" w:eastAsia="黑体"/>
          <w:b/>
          <w:bCs/>
          <w:sz w:val="24"/>
          <w:szCs w:val="32"/>
          <w:lang w:val="en-US" w:eastAsia="zh-CN"/>
        </w:rPr>
        <w:t>日本文化</w:t>
      </w:r>
      <w:r>
        <w:rPr>
          <w:rFonts w:hint="eastAsia" w:ascii="Times New Roman" w:hAnsi="Times New Roman" w:eastAsia="黑体"/>
          <w:b/>
          <w:bCs/>
          <w:sz w:val="24"/>
          <w:szCs w:val="32"/>
        </w:rPr>
        <w:t>：义理、耻感文化与</w:t>
      </w:r>
      <w:r>
        <w:rPr>
          <w:rFonts w:hint="eastAsia" w:ascii="Times New Roman" w:hAnsi="Times New Roman" w:eastAsia="黑体"/>
          <w:b/>
          <w:bCs/>
          <w:sz w:val="24"/>
          <w:szCs w:val="32"/>
          <w:lang w:val="en-US" w:eastAsia="zh-CN"/>
        </w:rPr>
        <w:t>教育</w:t>
      </w:r>
      <w:r>
        <w:rPr>
          <w:rFonts w:hint="eastAsia" w:ascii="Times New Roman" w:hAnsi="Times New Roman" w:eastAsia="黑体"/>
          <w:b/>
          <w:bCs/>
          <w:sz w:val="24"/>
          <w:szCs w:val="32"/>
        </w:rPr>
        <w:t>模式</w:t>
      </w:r>
    </w:p>
    <w:p w14:paraId="7E5C7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《菊与刀》是一本解读日本民族性格的书。不同于很多只介绍地域风俗、社会表象的书籍，本尼迪克特从社会学角度，深入挖掘了日本人矛盾的行为与思维背后的文化根源。在全书的许多观点中，义理、耻感文化和罪感文化、日本女性儿童教育最让我感触。这套理论解释了日本社会的道德逻辑，也让我读懂了日本人的复杂特质，打破了我以往对日本文化片面、表层的固有印象。</w:t>
      </w:r>
    </w:p>
    <w:p w14:paraId="12A2E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 w:ascii="Times New Roman" w:hAnsi="Times New Roman" w:eastAsia="黑体"/>
          <w:b/>
          <w:bCs/>
          <w:sz w:val="28"/>
          <w:szCs w:val="28"/>
        </w:rPr>
        <w:t>第七章 “最难承受”的报答</w:t>
      </w:r>
    </w:p>
    <w:p w14:paraId="1654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sz w:val="24"/>
          <w:szCs w:val="28"/>
        </w:rPr>
        <w:t>【摘抄】日本人常说：“最难承受的是义理。”人们必须履行义理，这和他们必须履行义务一样，只不过义理是一系列与义务不同的责任。人类学家在世界各地的文化中，发现各式各样奇怪的道德义务的种类，但义理是其中最奇特的一个。它是日本所独有的。“忠”和“孝”在日本和中国文化中都存在，尽管日本人对这两个观念做了修改，但它们和其他东方国家所熟悉的道德指令依然很相似</w:t>
      </w:r>
      <w:r>
        <w:rPr>
          <w:rStyle w:val="8"/>
          <w:rFonts w:hint="eastAsia" w:ascii="Times New Roman" w:hAnsi="Times New Roman" w:eastAsia="宋体"/>
          <w:sz w:val="24"/>
          <w:szCs w:val="28"/>
        </w:rPr>
        <w:footnoteReference w:id="0"/>
      </w:r>
      <w:r>
        <w:rPr>
          <w:rFonts w:hint="eastAsia" w:ascii="Times New Roman" w:hAnsi="Times New Roman" w:eastAsia="宋体"/>
          <w:sz w:val="24"/>
          <w:szCs w:val="28"/>
        </w:rPr>
        <w:t>。</w:t>
      </w:r>
      <w:r>
        <w:rPr>
          <w:rFonts w:hint="eastAsia" w:ascii="Times New Roman" w:hAnsi="Times New Roman" w:eastAsia="宋体"/>
          <w:sz w:val="24"/>
          <w:szCs w:val="28"/>
          <w:vertAlign w:val="superscript"/>
          <w:lang w:eastAsia="zh-CN"/>
        </w:rPr>
        <w:fldChar w:fldCharType="begin"/>
      </w:r>
      <w:r>
        <w:rPr>
          <w:rFonts w:hint="eastAsia" w:ascii="Times New Roman" w:hAnsi="Times New Roman" w:eastAsia="宋体"/>
          <w:sz w:val="24"/>
          <w:szCs w:val="28"/>
          <w:vertAlign w:val="superscript"/>
          <w:lang w:eastAsia="zh-CN"/>
        </w:rPr>
        <w:instrText xml:space="preserve"> REF _Ref20189 \r \h </w:instrText>
      </w:r>
      <w:r>
        <w:rPr>
          <w:rFonts w:hint="eastAsia" w:ascii="Times New Roman" w:hAnsi="Times New Roman" w:eastAsia="宋体"/>
          <w:sz w:val="24"/>
          <w:szCs w:val="28"/>
          <w:vertAlign w:val="superscript"/>
          <w:lang w:eastAsia="zh-CN"/>
        </w:rPr>
        <w:fldChar w:fldCharType="separate"/>
      </w:r>
      <w:r>
        <w:rPr>
          <w:rFonts w:hint="eastAsia" w:ascii="Times New Roman" w:hAnsi="Times New Roman" w:eastAsia="宋体"/>
          <w:sz w:val="24"/>
          <w:szCs w:val="28"/>
          <w:vertAlign w:val="superscript"/>
          <w:lang w:eastAsia="zh-CN"/>
        </w:rPr>
        <w:fldChar w:fldCharType="end"/>
      </w:r>
      <w:r>
        <w:rPr>
          <w:rFonts w:hint="eastAsia" w:ascii="Times New Roman" w:hAnsi="Times New Roman" w:eastAsia="宋体"/>
          <w:sz w:val="24"/>
          <w:szCs w:val="28"/>
          <w:vertAlign w:val="superscript"/>
          <w:lang w:eastAsia="zh-CN"/>
        </w:rPr>
        <w:fldChar w:fldCharType="begin"/>
      </w:r>
      <w:r>
        <w:rPr>
          <w:rFonts w:ascii="Times New Roman" w:hAnsi="Times New Roman" w:eastAsia="宋体"/>
          <w:sz w:val="24"/>
        </w:rPr>
        <w:instrText xml:space="preserve"> REF _Ref24249 \r \h  \* MERGEFORMAT</w:instrText>
      </w:r>
      <w:r>
        <w:rPr>
          <w:rFonts w:hint="eastAsia" w:ascii="Times New Roman" w:hAnsi="Times New Roman" w:eastAsia="宋体"/>
          <w:sz w:val="24"/>
          <w:szCs w:val="28"/>
          <w:vertAlign w:val="superscript"/>
          <w:lang w:eastAsia="zh-CN"/>
        </w:rPr>
        <w:fldChar w:fldCharType="separate"/>
      </w:r>
      <w:r>
        <w:rPr>
          <w:rFonts w:hint="eastAsia" w:ascii="Times New Roman" w:hAnsi="Times New Roman" w:eastAsia="宋体"/>
          <w:sz w:val="24"/>
          <w:szCs w:val="28"/>
          <w:vertAlign w:val="superscript"/>
          <w:lang w:eastAsia="zh-CN"/>
        </w:rPr>
        <w:fldChar w:fldCharType="end"/>
      </w:r>
    </w:p>
    <w:p w14:paraId="6E26B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  <w:lang w:eastAsia="zh-CN"/>
        </w:rPr>
        <w:t>【分析】</w:t>
      </w:r>
      <w:r>
        <w:rPr>
          <w:rFonts w:hint="eastAsia" w:ascii="Times New Roman" w:hAnsi="Times New Roman" w:eastAsia="宋体"/>
          <w:sz w:val="24"/>
          <w:szCs w:val="28"/>
        </w:rPr>
        <w:t>这段话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是</w:t>
      </w:r>
      <w:r>
        <w:rPr>
          <w:rFonts w:hint="eastAsia" w:ascii="Times New Roman" w:hAnsi="Times New Roman" w:eastAsia="宋体"/>
          <w:sz w:val="24"/>
          <w:szCs w:val="28"/>
        </w:rPr>
        <w:t>第七章开篇，先通过跨文化对比锚定“义理”的独特属性，清晰划分了忠、孝与义理的文化源头差异，是整章立论基础。忠、孝源自古代传入的儒家思想，属于东亚共通道德概念，只是日本本土根据自身封建体系做了调整，外来文化底色清晰；但义理完全诞生于日本本土社会，没有外来思想作为根基，在全球各民族伦理体系里找不到完全对等的概念，这也是西方研究者解读日本人行为时最大的认知障碍。作者在这里点明核心研究逻辑：义理是解开日本人各类矛盾行为的关键钥匙，日常社交纠纷、名誉危机、人际两难局面，背后的核心约束几乎都来自义理这套规则。同时文本区分了义理与常规义务：忠、孝是基于血缘、君臣天然关系产生的内生责任，发自人内心；义理大多是后天人际往来催生的、带有契约色彩的外部约束，这也是日本人普遍觉得义理是沉重负担的根本原因。外来忠孝伦理与本土义理两套规则并行，共同构成完整的日本道德框架，如果只用中西方统一道德标准评判，完全忽略义理的存在，就无法读懂日本人委屈自身、被迫妥协的大量选择。</w:t>
      </w:r>
    </w:p>
    <w:p w14:paraId="798C2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 w:ascii="Times New Roman" w:hAnsi="Times New Roman" w:eastAsia="黑体"/>
          <w:b/>
          <w:bCs/>
          <w:sz w:val="28"/>
          <w:szCs w:val="28"/>
        </w:rPr>
        <w:t>第十章 美德的困境</w:t>
      </w:r>
    </w:p>
    <w:p w14:paraId="2F46E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8"/>
        </w:rPr>
        <w:t>【摘抄】“在人类学对不同文化的研究中，耻感文化和罪感文化之间的区别是一个重要主题。罪感文化是指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：</w:t>
      </w:r>
      <w:r>
        <w:rPr>
          <w:rFonts w:hint="eastAsia" w:ascii="Times New Roman" w:hAnsi="Times New Roman" w:eastAsia="宋体"/>
          <w:sz w:val="24"/>
          <w:szCs w:val="28"/>
        </w:rPr>
        <w:t>社会向人们灌输绝对的道德标准，并依靠它来发展个人良心，但一个人在这类社会中（比如美国）如果不懂社交，即便这不是什么罪，他也会有耻感。他可能会因为在某些场合穿着不当或者说错话，而感到懊恼、羞耻</w:t>
      </w:r>
      <w:r>
        <w:rPr>
          <w:rStyle w:val="8"/>
          <w:rFonts w:hint="eastAsia" w:ascii="Times New Roman" w:hAnsi="Times New Roman" w:eastAsia="宋体"/>
          <w:sz w:val="24"/>
          <w:szCs w:val="28"/>
        </w:rPr>
        <w:footnoteReference w:id="1"/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。</w:t>
      </w:r>
    </w:p>
    <w:p w14:paraId="304ED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sz w:val="24"/>
          <w:szCs w:val="28"/>
          <w:lang w:eastAsia="zh-CN"/>
        </w:rPr>
        <w:t>【分析】从罪感和耻感的角度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来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看文化，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作者早就已经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把两种心理约束区分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过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。</w:t>
      </w:r>
    </w:p>
    <w:p w14:paraId="26D82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先来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讲一讲罪感文化。社会把某些道德定为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标准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，又以长时间的教育来促成这些标准在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每个人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心中的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成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立。人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们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犯的错误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虽然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未被他人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点出来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，也会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让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自己良心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过意不去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，此时的难受是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因为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自我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批评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。对这种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心情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不必过分压抑，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寻找一个倾诉者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忏悔，有助于心理上得到解脱。</w:t>
      </w:r>
      <w:bookmarkStart w:id="0" w:name="_GoBack"/>
      <w:bookmarkEnd w:id="0"/>
    </w:p>
    <w:p w14:paraId="0DE46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耻感文化的逻辑刚好相反。人会觉得羞耻，不是因为自我反省，而是在意别人的评价。让人难受的不是因为行为有错，而是害怕过失被外人看见，丢了体面。作者提到，他们认为羞耻感不能靠忏悔缓解，主动把错误公之于众只会引来更多议论，难堪只会严重。对身处耻感文化中的人来说，坦白认错非但不能缓解，反而会带来更大的精神压力。</w:t>
      </w:r>
    </w:p>
    <w:p w14:paraId="2ED3C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综合来看，两种文化的分界十分明确：约束自身行为的力量来源不同，罪感依靠内在良心，耻感受制于外界眼光；处理过错的方式也截然相反，罪感文化支持坦白赎罪，耻感文化则规避公开认错。</w:t>
      </w:r>
    </w:p>
    <w:p w14:paraId="4A2C2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但这个框架有两点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可细品</w:t>
      </w:r>
      <w:r>
        <w:rPr>
          <w:rFonts w:hint="eastAsia" w:ascii="Times New Roman" w:hAnsi="Times New Roman" w:eastAsia="宋体"/>
          <w:sz w:val="24"/>
          <w:szCs w:val="28"/>
        </w:rPr>
        <w:t>。第一，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耻感和罪感的分类有些绝对：</w:t>
      </w:r>
      <w:r>
        <w:rPr>
          <w:rFonts w:hint="eastAsia" w:ascii="Times New Roman" w:hAnsi="Times New Roman" w:eastAsia="宋体"/>
          <w:sz w:val="24"/>
          <w:szCs w:val="28"/>
        </w:rPr>
        <w:t>美国人也会因为社交场合穿错衣服感到尴尬，这就是耻感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；</w:t>
      </w:r>
      <w:r>
        <w:rPr>
          <w:rFonts w:hint="eastAsia" w:ascii="Times New Roman" w:hAnsi="Times New Roman" w:eastAsia="宋体"/>
          <w:sz w:val="24"/>
          <w:szCs w:val="28"/>
        </w:rPr>
        <w:t>日本人在面对失败时的自我否定也不完全是外部评价能解释的，现实中两种机制往往是并存的。第二，耻感“没有出口”这个判断可能导致一个后果：当一个人犯错且无法通过坦白来化解时，剩下的选择就是沉默、掩饰，或者用更极端的方式来洗刷耻辱，这在当下的网络环境中很常见——一个人被公开羞辱后，道歉可能被解读为“假惺惺”，不道歉又被骂“死不认错”，陷入进退两难的状态。所以我觉得本尼迪克特这个区分的价值，不在于把文化贴上标签，而是提醒我们注意“内心审判”和“外界目光”这两种压力机制的不同，大多数社会中两者都在起作用，只是谁占主导的问题。</w:t>
      </w:r>
    </w:p>
    <w:p w14:paraId="721EE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Chars="0" w:firstLine="0"/>
        <w:textAlignment w:val="auto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黑体"/>
          <w:b/>
          <w:bCs/>
          <w:sz w:val="24"/>
          <w:szCs w:val="28"/>
          <w:lang w:eastAsia="zh-CN"/>
        </w:rPr>
        <w:t>第十二章：儿童学习</w:t>
      </w:r>
    </w:p>
    <w:p w14:paraId="59BCA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8"/>
        </w:rPr>
        <w:t>【摘抄】</w:t>
      </w:r>
      <w:r>
        <w:rPr>
          <w:rFonts w:hint="eastAsia" w:ascii="Times New Roman" w:hAnsi="Times New Roman" w:eastAsia="宋体"/>
          <w:sz w:val="24"/>
          <w:szCs w:val="28"/>
        </w:rPr>
        <w:t>女孩们常常直接承担起各项约束对她们的要求，而不是依靠专制权威的父母强制</w:t>
      </w:r>
      <w:r>
        <w:rPr>
          <w:rFonts w:hint="eastAsia" w:ascii="Times New Roman" w:hAnsi="Times New Roman" w:eastAsia="宋体"/>
          <w:sz w:val="24"/>
          <w:szCs w:val="28"/>
        </w:rPr>
        <w:t>。父母也会对女儿行使家长权力，但不是通过体罚的方式，而是通过平静的、始终如一的期盼，希望女儿不要辜负各项要求。下文是一个此类训练的极端例子。它很值得引用，因为它体现了对女孩那种不甚严格却又特殊的抚养方式的特点，即非专制的压力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。</w:t>
      </w:r>
      <w:r>
        <w:rPr>
          <w:rStyle w:val="8"/>
          <w:rFonts w:hint="eastAsia" w:ascii="Times New Roman" w:hAnsi="Times New Roman" w:eastAsia="宋体"/>
          <w:sz w:val="24"/>
          <w:szCs w:val="28"/>
          <w:lang w:eastAsia="zh-CN"/>
        </w:rPr>
        <w:footnoteReference w:id="2"/>
      </w:r>
    </w:p>
    <w:p w14:paraId="61468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  <w:lang w:eastAsia="zh-CN"/>
        </w:rPr>
        <w:t>【分析】</w:t>
      </w:r>
      <w:r>
        <w:rPr>
          <w:rFonts w:hint="eastAsia" w:ascii="Times New Roman" w:hAnsi="Times New Roman" w:eastAsia="宋体"/>
          <w:sz w:val="24"/>
          <w:szCs w:val="28"/>
        </w:rPr>
        <w:t>日本男孩从小要经历严苛的军训，要背负“对名声的义理”，说白了就是要通过公开表现来挣面子、争荣誉。而女性被排除在这个体系之外，不用承受失败的耻辱，但也永久失去了在公共领域争取尊重的资格。这种“保护”本身就是一种边缘化——把你护得好好的，但也别想出来了。</w:t>
      </w:r>
    </w:p>
    <w:p w14:paraId="126FC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480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日本的</w:t>
      </w:r>
      <w:r>
        <w:rPr>
          <w:rFonts w:hint="eastAsia" w:ascii="Times New Roman" w:hAnsi="Times New Roman" w:eastAsia="宋体"/>
          <w:sz w:val="24"/>
          <w:szCs w:val="28"/>
        </w:rPr>
        <w:t>教养方式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与中国不同</w:t>
      </w:r>
      <w:r>
        <w:rPr>
          <w:rFonts w:hint="eastAsia" w:ascii="Times New Roman" w:hAnsi="Times New Roman" w:eastAsia="宋体"/>
          <w:sz w:val="24"/>
          <w:szCs w:val="28"/>
        </w:rPr>
        <w:t>。中国家庭传统里规矩是摊开来的，该打该骂不藏着掖着。但日本人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像是</w:t>
      </w:r>
      <w:r>
        <w:rPr>
          <w:rFonts w:hint="eastAsia" w:ascii="Times New Roman" w:hAnsi="Times New Roman" w:eastAsia="宋体"/>
          <w:sz w:val="24"/>
          <w:szCs w:val="28"/>
        </w:rPr>
        <w:t>“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服从性测试</w:t>
      </w:r>
      <w:r>
        <w:rPr>
          <w:rFonts w:hint="eastAsia" w:ascii="Times New Roman" w:hAnsi="Times New Roman" w:eastAsia="宋体"/>
          <w:sz w:val="24"/>
          <w:szCs w:val="28"/>
        </w:rPr>
        <w:t>”——不打不骂，就用那种让你觉得自己让人失望了的氛围，把规矩揉进你的潜意识。这种做法的厉害之处在于，它把外在约束转成自我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反思</w:t>
      </w:r>
      <w:r>
        <w:rPr>
          <w:rFonts w:hint="eastAsia" w:ascii="Times New Roman" w:hAnsi="Times New Roman" w:eastAsia="宋体"/>
          <w:sz w:val="24"/>
          <w:szCs w:val="28"/>
        </w:rPr>
        <w:t>。你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听话</w:t>
      </w:r>
      <w:r>
        <w:rPr>
          <w:rFonts w:hint="eastAsia" w:ascii="Times New Roman" w:hAnsi="Times New Roman" w:eastAsia="宋体"/>
          <w:sz w:val="24"/>
          <w:szCs w:val="28"/>
        </w:rPr>
        <w:t>从不是因为怕挨打，而是因为怕“辜负”带来的羞耻</w:t>
      </w:r>
      <w:r>
        <w:rPr>
          <w:rFonts w:hint="eastAsia" w:ascii="Times New Roman" w:hAnsi="Times New Roman" w:eastAsia="宋体"/>
          <w:sz w:val="24"/>
          <w:szCs w:val="28"/>
          <w:lang w:eastAsia="zh-CN"/>
        </w:rPr>
        <w:t>、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内疚感</w:t>
      </w:r>
      <w:r>
        <w:rPr>
          <w:rFonts w:hint="eastAsia" w:ascii="Times New Roman" w:hAnsi="Times New Roman" w:eastAsia="宋体"/>
          <w:sz w:val="24"/>
          <w:szCs w:val="28"/>
        </w:rPr>
        <w:t>。约束的源头从“父母”变成了“自我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看法</w:t>
      </w:r>
      <w:r>
        <w:rPr>
          <w:rFonts w:hint="eastAsia" w:ascii="Times New Roman" w:hAnsi="Times New Roman" w:eastAsia="宋体"/>
          <w:sz w:val="24"/>
          <w:szCs w:val="28"/>
        </w:rPr>
        <w:t>”，这比任何体罚都管用。</w:t>
      </w:r>
    </w:p>
    <w:p w14:paraId="77AA8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left="0" w:leftChars="0" w:firstLineChars="0" w:firstLine="480"/>
        <w:jc w:val="both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/>
          <w:sz w:val="24"/>
          <w:szCs w:val="28"/>
        </w:rPr>
        <w:t>所以男孩和女孩走的是两条不同的内化路径。男孩通过体罚和训练学会争面子，女孩通过无止境的期待学会忍让和维系关系。结果就是，女性被塑造成那种表面极其顺从、内里却高度自律的人。西方文化里成年的标志是独立，在这里成年的标志可能是你有多在意别人怎么看你。</w:t>
      </w: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作者认为</w:t>
      </w:r>
      <w:r>
        <w:rPr>
          <w:rFonts w:hint="eastAsia" w:ascii="Times New Roman" w:hAnsi="Times New Roman" w:eastAsia="宋体"/>
          <w:sz w:val="24"/>
          <w:szCs w:val="28"/>
        </w:rPr>
        <w:t>，日本人的道德困境不在于善恶对抗，而在于不同“世界”之间的义务拉扯。而女性，恰好处于那些最需要隐忍、最不能声张的夹缝位置。她们的“平稳”，换一个角度看，可能恰恰是最沉重的承担。</w:t>
      </w:r>
    </w:p>
    <w:p w14:paraId="0D0C5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left="0" w:leftChars="0" w:firstLineChars="0" w:firstLine="48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8"/>
          <w:lang w:val="en-US" w:eastAsia="zh-CN"/>
        </w:rPr>
        <w:t>通过阅读《菊与刀》让我明白：一个国家的教育理念、社会规则与文化特征是一致的的。这本书不仅让我明白了义理文化、耻感文化与家庭教育的特征，也让我学会以辩证、客观的视角学习他国文化，要以理性视角看待不同文明的差异。</w:t>
      </w:r>
    </w:p>
    <w:sectPr>
      <w:footnotePr>
        <w:numFmt w:val="decimalEnclosedCircleChinese"/>
        <w:numRestart w:val="eachPage"/>
      </w:footnotePr>
      <w:endnotePr>
        <w:numFmt w:val="decimal"/>
      </w:endnote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r>
        <w:separator/>
      </w:r>
    </w:p>
  </w:footnote>
  <w:footnote w:type="continuationSeparator" w:id="7">
    <w:p>
      <w:r>
        <w:continuationSeparator/>
      </w:r>
    </w:p>
  </w:footnote>
  <w:footnote w:id="0">
    <w:p w14:paraId="21721141">
      <w:pPr>
        <w:pStyle w:val="4"/>
        <w:snapToGrid w:val="0"/>
      </w:pPr>
      <w:r>
        <w:rPr>
          <w:rStyle w:val="8"/>
        </w:rPr>
        <w:footnoteRef/>
      </w:r>
      <w: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REF _Ref20189 \h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sz w:val="24"/>
          <w:szCs w:val="24"/>
        </w:rPr>
        <w:t>鲁思·本尼迪克特.菊与刀[M].南星越,译.海口:南海出版社,2007</w:t>
      </w:r>
      <w:r>
        <w:rPr>
          <w:rFonts w:hint="default"/>
          <w:lang w:val="en-US"/>
        </w:rPr>
        <w:fldChar w:fldCharType="end"/>
      </w:r>
    </w:p>
  </w:footnote>
  <w:footnote w:id="1">
    <w:p w14:paraId="11590FB3">
      <w:pPr>
        <w:pStyle w:val="4"/>
        <w:snapToGrid w:val="0"/>
      </w:pPr>
      <w:r>
        <w:rPr>
          <w:rStyle w:val="8"/>
        </w:rPr>
        <w:footnoteRef/>
      </w:r>
      <w: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REF _Ref20189 \h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sz w:val="24"/>
          <w:szCs w:val="24"/>
        </w:rPr>
        <w:t>鲁思·本尼迪克特.菊与刀[M].南星越,译.海口:南海出版社,2007</w:t>
      </w:r>
      <w:r>
        <w:rPr>
          <w:rFonts w:hint="default"/>
          <w:lang w:val="en-US"/>
        </w:rPr>
        <w:fldChar w:fldCharType="end"/>
      </w:r>
    </w:p>
  </w:footnote>
  <w:footnote w:id="2">
    <w:p w14:paraId="48230FAD">
      <w:pPr>
        <w:pStyle w:val="4"/>
        <w:snapToGrid w:val="0"/>
      </w:pPr>
      <w:r>
        <w:rPr>
          <w:rStyle w:val="8"/>
        </w:rPr>
        <w:footnoteRef/>
      </w:r>
      <w: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REF _Ref20189 \h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sz w:val="24"/>
          <w:szCs w:val="24"/>
        </w:rPr>
        <w:t>鲁思·本尼迪克特.菊与刀[M].南星越,译.海口:南海出版社,2007</w:t>
      </w:r>
      <w:r>
        <w:rPr>
          <w:rFonts w:hint="default"/>
          <w:lang w:val="en-US"/>
        </w:rPr>
        <w:fldChar w:fldCharType="end"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Page"/>
    <w:footnote w:id="6"/>
    <w:footnote w:id="7"/>
  </w:footnotePr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91D5E"/>
    <w:rsid w:val="004C328C"/>
    <w:rsid w:val="00585335"/>
    <w:rsid w:val="00870CCD"/>
    <w:rsid w:val="00DE5743"/>
    <w:rsid w:val="012F5F9F"/>
    <w:rsid w:val="0239519B"/>
    <w:rsid w:val="037E320E"/>
    <w:rsid w:val="03800202"/>
    <w:rsid w:val="049F0586"/>
    <w:rsid w:val="04A30F56"/>
    <w:rsid w:val="06172321"/>
    <w:rsid w:val="071F6AB6"/>
    <w:rsid w:val="0757624F"/>
    <w:rsid w:val="07577FFE"/>
    <w:rsid w:val="07846919"/>
    <w:rsid w:val="08344B05"/>
    <w:rsid w:val="08375A89"/>
    <w:rsid w:val="08AF5C17"/>
    <w:rsid w:val="08E623AA"/>
    <w:rsid w:val="08FD674C"/>
    <w:rsid w:val="0B9A25AD"/>
    <w:rsid w:val="0C0D15D3"/>
    <w:rsid w:val="0CD12600"/>
    <w:rsid w:val="0DDD0ECC"/>
    <w:rsid w:val="0E280947"/>
    <w:rsid w:val="1021564D"/>
    <w:rsid w:val="12241424"/>
    <w:rsid w:val="12EF1A32"/>
    <w:rsid w:val="13AD6A55"/>
    <w:rsid w:val="14990D37"/>
    <w:rsid w:val="14F670A8"/>
    <w:rsid w:val="15112E59"/>
    <w:rsid w:val="185354FE"/>
    <w:rsid w:val="185E09CA"/>
    <w:rsid w:val="187F72BD"/>
    <w:rsid w:val="18EC4411"/>
    <w:rsid w:val="19B64DBC"/>
    <w:rsid w:val="19D4436C"/>
    <w:rsid w:val="1C91454C"/>
    <w:rsid w:val="1D563EBD"/>
    <w:rsid w:val="1DD328BD"/>
    <w:rsid w:val="1E026ABD"/>
    <w:rsid w:val="1F4B6242"/>
    <w:rsid w:val="1F7F413E"/>
    <w:rsid w:val="20D9476F"/>
    <w:rsid w:val="21831B09"/>
    <w:rsid w:val="21B46321"/>
    <w:rsid w:val="21E46B07"/>
    <w:rsid w:val="23F30C56"/>
    <w:rsid w:val="24CC3981"/>
    <w:rsid w:val="257160DE"/>
    <w:rsid w:val="25FD2876"/>
    <w:rsid w:val="265A320F"/>
    <w:rsid w:val="2666570F"/>
    <w:rsid w:val="26887D7C"/>
    <w:rsid w:val="27BA11F6"/>
    <w:rsid w:val="294F5552"/>
    <w:rsid w:val="2AD01CF1"/>
    <w:rsid w:val="2BFB4B4C"/>
    <w:rsid w:val="2C78263F"/>
    <w:rsid w:val="2D450775"/>
    <w:rsid w:val="2DAF2604"/>
    <w:rsid w:val="30D90532"/>
    <w:rsid w:val="30F06C49"/>
    <w:rsid w:val="319E66A5"/>
    <w:rsid w:val="320C7AB3"/>
    <w:rsid w:val="32A970B0"/>
    <w:rsid w:val="32C2328C"/>
    <w:rsid w:val="33D75369"/>
    <w:rsid w:val="3411315F"/>
    <w:rsid w:val="352E5F92"/>
    <w:rsid w:val="358B5193"/>
    <w:rsid w:val="373A6BF4"/>
    <w:rsid w:val="37FE7E9E"/>
    <w:rsid w:val="3813028F"/>
    <w:rsid w:val="388008B3"/>
    <w:rsid w:val="38E952A5"/>
    <w:rsid w:val="397E5892"/>
    <w:rsid w:val="39AE259E"/>
    <w:rsid w:val="3AEA295B"/>
    <w:rsid w:val="3B712B29"/>
    <w:rsid w:val="3BAA4176"/>
    <w:rsid w:val="3BCB453B"/>
    <w:rsid w:val="3BD72EE0"/>
    <w:rsid w:val="3BDF7962"/>
    <w:rsid w:val="3C1F45B2"/>
    <w:rsid w:val="3C7B276A"/>
    <w:rsid w:val="3CC316B6"/>
    <w:rsid w:val="3EE65D0D"/>
    <w:rsid w:val="3F052174"/>
    <w:rsid w:val="41765DD5"/>
    <w:rsid w:val="41F8693A"/>
    <w:rsid w:val="429F5DD9"/>
    <w:rsid w:val="431B61D5"/>
    <w:rsid w:val="45A07464"/>
    <w:rsid w:val="46C277A4"/>
    <w:rsid w:val="46C53FAB"/>
    <w:rsid w:val="48C742DC"/>
    <w:rsid w:val="490038D1"/>
    <w:rsid w:val="49B303BC"/>
    <w:rsid w:val="49C650D6"/>
    <w:rsid w:val="4A145204"/>
    <w:rsid w:val="4A2A2A84"/>
    <w:rsid w:val="4D381797"/>
    <w:rsid w:val="4D46724C"/>
    <w:rsid w:val="4D671B9E"/>
    <w:rsid w:val="4E6B55B6"/>
    <w:rsid w:val="50A56CB1"/>
    <w:rsid w:val="51624BA2"/>
    <w:rsid w:val="529F6E3D"/>
    <w:rsid w:val="549F7EBB"/>
    <w:rsid w:val="54A2479A"/>
    <w:rsid w:val="564428FC"/>
    <w:rsid w:val="575612E0"/>
    <w:rsid w:val="57E427B4"/>
    <w:rsid w:val="586F4122"/>
    <w:rsid w:val="592D3787"/>
    <w:rsid w:val="599B388F"/>
    <w:rsid w:val="5B3326AC"/>
    <w:rsid w:val="5B6A162C"/>
    <w:rsid w:val="5CE62FC3"/>
    <w:rsid w:val="5CE91D7D"/>
    <w:rsid w:val="5E066084"/>
    <w:rsid w:val="607A4A73"/>
    <w:rsid w:val="60AF592A"/>
    <w:rsid w:val="6113155D"/>
    <w:rsid w:val="61907509"/>
    <w:rsid w:val="61E138C1"/>
    <w:rsid w:val="645C7B76"/>
    <w:rsid w:val="659A0956"/>
    <w:rsid w:val="660F30F2"/>
    <w:rsid w:val="66992726"/>
    <w:rsid w:val="67E07B48"/>
    <w:rsid w:val="6828049B"/>
    <w:rsid w:val="68541B0D"/>
    <w:rsid w:val="686E377D"/>
    <w:rsid w:val="68DA4C11"/>
    <w:rsid w:val="694306FA"/>
    <w:rsid w:val="6B5F36B6"/>
    <w:rsid w:val="6D106D37"/>
    <w:rsid w:val="6D966B59"/>
    <w:rsid w:val="6DB94787"/>
    <w:rsid w:val="6F9F7F36"/>
    <w:rsid w:val="6FF76554"/>
    <w:rsid w:val="70820965"/>
    <w:rsid w:val="71F1502B"/>
    <w:rsid w:val="724C3314"/>
    <w:rsid w:val="74975C19"/>
    <w:rsid w:val="76515061"/>
    <w:rsid w:val="768947FB"/>
    <w:rsid w:val="77020109"/>
    <w:rsid w:val="782236A8"/>
    <w:rsid w:val="79587FA4"/>
    <w:rsid w:val="798F559D"/>
    <w:rsid w:val="79BA116F"/>
    <w:rsid w:val="7A534BCB"/>
    <w:rsid w:val="7A835790"/>
    <w:rsid w:val="7B8B0ECF"/>
    <w:rsid w:val="7BC5229C"/>
    <w:rsid w:val="7C225EB9"/>
    <w:rsid w:val="7CDF626C"/>
    <w:rsid w:val="7D3E04FE"/>
    <w:rsid w:val="7F16443A"/>
    <w:rsid w:val="7F8D2652"/>
    <w:rsid w:val="7F9164CE"/>
    <w:rsid w:val="7FE64A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uiPriority w:val="0"/>
    <w:pPr>
      <w:snapToGrid w:val="0"/>
      <w:jc w:val="left"/>
    </w:pPr>
  </w:style>
  <w:style w:type="paragraph" w:styleId="4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7">
    <w:name w:val="endnote reference"/>
    <w:basedOn w:val="6"/>
    <w:uiPriority w:val="0"/>
    <w:rPr>
      <w:vertAlign w:val="superscript"/>
    </w:rPr>
  </w:style>
  <w:style w:type="character" w:styleId="8">
    <w:name w:val="footnote reference"/>
    <w:basedOn w:val="6"/>
    <w:uiPriority w:val="0"/>
    <w:rPr>
      <w:vertAlign w:val="superscript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2530</Words>
  <Characters>2532</Characters>
  <Lines>0</Lines>
  <Paragraphs>0</Paragraphs>
  <TotalTime>42</TotalTime>
  <ScaleCrop>false</ScaleCrop>
  <LinksUpToDate>false</LinksUpToDate>
  <CharactersWithSpaces>2534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2026-06-23T22:23:00Z</dcterms:created>
  <dc:creator>iPad</dc:creator>
  <cp:lastModifiedBy>-</cp:lastModifiedBy>
  <dcterms:modified xsi:type="dcterms:W3CDTF">2026-06-24T09:38:22Z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65E71E83248A4D22A5D9999474A5ADB6_13</vt:lpwstr>
  </property>
  <property fmtid="{D5CDD505-2E9C-101B-9397-08002B2CF9AE}" pid="4" name="KSOTemplateDocerSaveRecord">
    <vt:lpwstr>eyJoZGlkIjoiNjliNmY2MDYxNmE5Y2FhYmVjYjRhYmI3YjlkYjIzZTAiLCJ1c2VySWQiOiIxMDY4MDQyMTI2In0=</vt:lpwstr>
  </property>
</Properties>
</file>