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rmorant Garamond" w:hAnsi="Cormorant Garamond"/>
          <w:b/>
          <w:color w:val="0E0E0E"/>
          <w:sz w:val="52"/>
        </w:rPr>
        <w:t>E W A H</w:t>
      </w:r>
    </w:p>
    <w:p>
      <w:pPr>
        <w:spacing w:after="40"/>
        <w:jc w:val="center"/>
      </w:pPr>
      <w:r>
        <w:rPr>
          <w:rFonts w:ascii="Aptos" w:hAnsi="Aptos"/>
          <w:b/>
          <w:color w:val="B28D4F"/>
          <w:sz w:val="16"/>
        </w:rPr>
        <w:t>SCULPT  •  FLOW  •  FREEDOM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656"/>
            <w:shd w:fill="0E0E0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color w:val="FFFFFF"/>
                <w:sz w:val="34"/>
              </w:rPr>
              <w:t>EWAH-WF-02  |  WARRIOR FLOW SHORT SUMMER DRESS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B28D4F"/>
                <w:sz w:val="17"/>
              </w:rPr>
              <w:t>ABOVE-THE-KNEE SCULPTED PERFORMANCE DRESS WITH BUILT-IN SHORTS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921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9E0572-47C9-4141-97A1-6F1FA71217AF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2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5"/>
        </w:rPr>
        <w:t>Approved reference direction: coordinated short Warrior Flow version shown on the right. Preserve the same seam architecture and airflow language as the long Breeze Flow style.</w:t>
      </w:r>
    </w:p>
    <w:p>
      <w:pPr>
        <w:pStyle w:val="Heading1"/>
        <w:spacing w:before="140" w:after="60"/>
      </w:pPr>
      <w:r>
        <w:t>1. Style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2520"/>
        <w:gridCol w:w="7704"/>
      </w:tblGrid>
      <w:tr>
        <w:trPr>
          <w:tblHeader w:val="true"/>
        </w:trPr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Status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Development tech pack draft — not production final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Category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Short luxury performance dress / training-to-travel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Silhouette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Above-the-knee sculpted dress with dual front-side openings and built-in shorts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Primary use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General gym, walking, travel, light lifting, gym-to-life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Fit intent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Defined waist, secure bust, fuller hip/glute accommodation, modest movement openings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Base size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Curvy M fit model — target body 38 in bust / 31 in waist / 43 in full hip</w:t>
            </w:r>
          </w:p>
        </w:tc>
      </w:tr>
    </w:tbl>
    <w:p>
      <w:pPr>
        <w:pStyle w:val="Heading1"/>
        <w:spacing w:before="140" w:after="60"/>
      </w:pPr>
      <w:r>
        <w:t>2. Design Architecture &amp; Technical Callouts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2520"/>
        <w:gridCol w:w="7704"/>
      </w:tblGrid>
      <w:tr>
        <w:trPr>
          <w:tblHeader w:val="true"/>
        </w:trPr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Neckline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Refined high round neck with mesh insert; secure and supportive.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Bodice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Strong sculpted seam architecture derived from Breeze Flow family.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Skirt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Above-the-knee outer dress with center solid panel and curved side openings.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Underlayer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Opaque fitted short, 5 in inseam, no front seam, right-side phone pocket.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Back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Contoured center-back shaping with upper airflow panel and optional vertical EWAH lockup.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Hem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Curved front and back hem; rear coverage at least 1.0–1.5 in longer than front on curvy fit model.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Non-negotiable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Must not become a generic tennis dress; retain EWAH sculptural lines and controlled modesty.</w:t>
            </w:r>
          </w:p>
        </w:tc>
      </w:tr>
    </w:tbl>
    <w:p>
      <w:pPr>
        <w:pStyle w:val="Heading1"/>
        <w:spacing w:before="140" w:after="60"/>
      </w:pPr>
      <w:r>
        <w:t>3. Bill of Materials (BOM)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1872"/>
        <w:gridCol w:w="7488"/>
        <w:gridCol w:w="864"/>
      </w:tblGrid>
      <w:tr>
        <w:trPr>
          <w:tblHeader w:val="true"/>
        </w:trPr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SPECIFICATION</w:t>
            </w:r>
          </w:p>
        </w:tc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QTY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Main shell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Matte 4-way stretch nylon/spandex, 220–250 GSM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Ventilation mesh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Fine perforated nylon/spandex, 150–190 GSM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Built-in short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Opaque nylon/spandex interlock, 230–270 GSM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Elastic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Soft 35–40 mm waistband elastic, high recovery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Branding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Tonal or antique-gold heat transfer / silicone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Thread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High-tenacity polyester stretch-compatible thread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As req.</w:t>
            </w:r>
          </w:p>
        </w:tc>
      </w:tr>
    </w:tbl>
    <w:p>
      <w:pPr>
        <w:pStyle w:val="Heading1"/>
        <w:spacing w:before="140" w:after="60"/>
      </w:pPr>
      <w:r>
        <w:t>4. Construction &amp; Stitching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2520"/>
        <w:gridCol w:w="7704"/>
      </w:tblGrid>
      <w:tr>
        <w:trPr>
          <w:tblHeader w:val="true"/>
        </w:trPr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Primary seams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4-thread overlock or equivalent stretch seam; clean internal finish.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Topstitching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Coverstitch or narrow twin-needle where visible; maintain consistent 3 mm visual line.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Mesh joins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Stabilize without rigid tape; avoid puckering and abrasion against skin.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Slits/openings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Reinforce stress points; clean narrow binding or turned finish.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Hem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Bonded or coverstitched according to approved sample; no waviness.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Underlayer attachment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Attach at waist seam; avoid bulky seam stack; accessible phone pocket.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Brand placement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Front emblem 18–22 mm; vertical back lockup only after exact placement approval.</w:t>
            </w:r>
          </w:p>
        </w:tc>
      </w:tr>
    </w:tbl>
    <w:p>
      <w:pPr>
        <w:pStyle w:val="Heading1"/>
        <w:spacing w:before="140" w:after="60"/>
      </w:pPr>
      <w:r>
        <w:t>5. Points of Measure — Base Size 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5616"/>
        <w:gridCol w:w="1728"/>
        <w:gridCol w:w="2160"/>
      </w:tblGrid>
      <w:tr>
        <w:trPr>
          <w:tblHeader w:val="true"/>
        </w:trPr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POINT OF MEASURE</w:t>
            </w:r>
          </w:p>
        </w:tc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INCHES</w:t>
            </w:r>
          </w:p>
        </w:tc>
        <w:tc>
          <w:tcPr>
            <w:tcW w:type="dxa" w:w="3552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TOLERANCE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Bust circumference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Waist circumference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Full hip allowance — outer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±0.75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Center-back length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34.5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Front shortest length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32.5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Side opening height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±0.25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Armhole circumference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17.5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±0.25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Shoulder width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14.5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±0.25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Built-in short inseam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±0.25</w:t>
            </w:r>
          </w:p>
        </w:tc>
      </w:tr>
      <w:tr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Short waist relaxed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±0.5</w:t>
            </w:r>
          </w:p>
        </w:tc>
      </w:tr>
    </w:tbl>
    <w:p>
      <w:r>
        <w:rPr>
          <w:i/>
          <w:color w:val="666666"/>
          <w:sz w:val="16"/>
        </w:rPr>
        <w:t>All measurements are preliminary starting specifications. Final POMs must be set from approved physical pattern and fit sample.</w:t>
      </w:r>
    </w:p>
    <w:p>
      <w:pPr>
        <w:pStyle w:val="Heading1"/>
        <w:spacing w:before="140" w:after="60"/>
      </w:pPr>
      <w:r>
        <w:t>6. Preliminary Grade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2520"/>
        <w:gridCol w:w="7704"/>
      </w:tblGrid>
      <w:tr>
        <w:trPr>
          <w:tblHeader w:val="true"/>
        </w:trPr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Bust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+1.5 in total per size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Waist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+1.25 in total per size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Full hip / outer ease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+1.75 in total per size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Length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+0.25 in per size; petite/tall variants evaluated separately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Armhole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+0.25 in circumference per size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Built-in short inseam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Hold 5 in unless fit testing requires change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Critical rule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Preserve waist-to-hip relationship, slit placement, mesh zoning and rear coverage through grading.</w:t>
            </w:r>
          </w:p>
        </w:tc>
      </w:tr>
    </w:tbl>
    <w:p>
      <w:pPr>
        <w:pStyle w:val="Heading1"/>
        <w:spacing w:before="140" w:after="60"/>
      </w:pPr>
      <w:r>
        <w:t>7. Branding, Labels &amp; Packaging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2520"/>
        <w:gridCol w:w="7704"/>
      </w:tblGrid>
      <w:tr>
        <w:trPr>
          <w:tblHeader w:val="true"/>
        </w:trPr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Primary branding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Small emblem at left hip or lower front; tonal black or antique gold.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Back branding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Optional vertical EWAH lockup centered on solid upper-back panel; never printed across open mesh.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Internal label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Heat-transfer brand/size label; soft removable care label at side seam.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Hangtag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Style code, color, size, fabric composition, coverage level, care QR code.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B28D4F"/>
              </w:rPr>
              <w:t>Packaging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Fold with tissue barrier; avoid crushing mesh; individual recycled polybag or premium paper sleeve.</w:t>
            </w:r>
          </w:p>
        </w:tc>
      </w:tr>
    </w:tbl>
    <w:p>
      <w:pPr>
        <w:pStyle w:val="Heading1"/>
        <w:spacing w:before="140" w:after="60"/>
      </w:pPr>
      <w:r>
        <w:t>8. Performance &amp; Quality-Control Tests</w:t>
      </w:r>
    </w:p>
    <w:p>
      <w:pPr>
        <w:pStyle w:val="ListBullet"/>
      </w:pPr>
      <w:r>
        <w:t>Deep squat, lunge and deadlift setup</w:t>
      </w:r>
    </w:p>
    <w:p>
      <w:pPr>
        <w:pStyle w:val="ListBullet"/>
      </w:pPr>
      <w:r>
        <w:t>Step-up and overhead reach</w:t>
      </w:r>
    </w:p>
    <w:p>
      <w:pPr>
        <w:pStyle w:val="ListBullet"/>
      </w:pPr>
      <w:r>
        <w:t>Treadmill walking and seated-machine use</w:t>
      </w:r>
    </w:p>
    <w:p>
      <w:pPr>
        <w:pStyle w:val="ListBullet"/>
      </w:pPr>
      <w:r>
        <w:t>Neckline security across movement</w:t>
      </w:r>
    </w:p>
    <w:p>
      <w:pPr>
        <w:pStyle w:val="ListBullet"/>
      </w:pPr>
      <w:r>
        <w:t>Short does not roll or ride excessively</w:t>
      </w:r>
    </w:p>
    <w:p>
      <w:pPr>
        <w:pStyle w:val="ListBullet"/>
      </w:pPr>
      <w:r>
        <w:t>Opacity under stretch and sweat</w:t>
      </w:r>
    </w:p>
    <w:p>
      <w:pPr>
        <w:pStyle w:val="ListBullet"/>
      </w:pPr>
      <w:r>
        <w:t>Rear hem remains covered over fuller glutes</w:t>
      </w:r>
    </w:p>
    <w:p>
      <w:pPr>
        <w:pStyle w:val="ListBullet"/>
      </w:pPr>
      <w:r>
        <w:t>Side openings do not expose beyond approved coverage</w:t>
      </w:r>
    </w:p>
    <w:p>
      <w:pPr>
        <w:pStyle w:val="Heading1"/>
        <w:spacing w:before="140" w:after="60"/>
      </w:pPr>
      <w:r>
        <w:t>9. Sample Review &amp; Revision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EC2"/>
          <w:left w:val="single" w:sz="4" w:space="0" w:color="D7CEC2"/>
          <w:bottom w:val="single" w:sz="4" w:space="0" w:color="D7CEC2"/>
          <w:right w:val="single" w:sz="4" w:space="0" w:color="D7CEC2"/>
          <w:insideH w:val="single" w:sz="4" w:space="0" w:color="D7CEC2"/>
          <w:insideV w:val="single" w:sz="4" w:space="0" w:color="D7CEC2"/>
        </w:tblBorders>
      </w:tblPr>
      <w:tblGrid>
        <w:gridCol w:w="936"/>
        <w:gridCol w:w="1152"/>
        <w:gridCol w:w="1440"/>
        <w:gridCol w:w="3312"/>
        <w:gridCol w:w="2304"/>
        <w:gridCol w:w="1080"/>
      </w:tblGrid>
      <w:tr>
        <w:trPr>
          <w:tblHeader w:val="true"/>
        </w:trPr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ROUND</w:t>
            </w:r>
          </w:p>
        </w:tc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SAMPLE TYPE</w:t>
            </w:r>
          </w:p>
        </w:tc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ISSUE / OBSERVATION</w:t>
            </w:r>
          </w:p>
        </w:tc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776"/>
            <w:shd w:fill="0E0E0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Proto 1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Fit sample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Size set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Pre-production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</w:t>
            </w:r>
          </w:p>
        </w:tc>
      </w:tr>
    </w:tbl>
    <w:p>
      <w:pPr>
        <w:pStyle w:val="Heading1"/>
        <w:spacing w:before="140" w:after="60"/>
      </w:pPr>
      <w:r>
        <w:t>10. Approval Gates</w:t>
      </w:r>
    </w:p>
    <w:p>
      <w:r>
        <w:t>☐ Design architecture approved</w:t>
      </w:r>
    </w:p>
    <w:p>
      <w:r>
        <w:t>☐ Fabric and color approved</w:t>
      </w:r>
    </w:p>
    <w:p>
      <w:r>
        <w:t>☐ Base-size fit approved</w:t>
      </w:r>
    </w:p>
    <w:p>
      <w:r>
        <w:t>☐ Movement and modesty tests passed</w:t>
      </w:r>
    </w:p>
    <w:p>
      <w:r>
        <w:t>☐ Size-set approved</w:t>
      </w:r>
    </w:p>
    <w:p>
      <w:r>
        <w:t>☐ Pre-production sample approved</w:t>
      </w:r>
    </w:p>
    <w:sectPr w:rsidR="00FC693F" w:rsidRPr="0006063C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4"/>
      </w:rPr>
      <w:t>EWAH  |  EWAH-WF-02  |  TECH PACK DRAFT v0.1  |  PRELIMINARY — SUBJECT TO FIT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E0E0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0E0E0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rmorant Garamond" w:hAnsi="Cormorant Garamond"/>
      <w:b/>
      <w:bCs/>
      <w:color w:val="B28D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rmorant Garamond" w:hAnsi="Cormorant Garamond"/>
      <w:b/>
      <w:color w:val="0E0E0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