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F5BCB" w:rsidRPr="00FB4B24" w:rsidRDefault="00FB4B24" w:rsidP="00FB4B24">
      <w:pPr>
        <w:spacing w:afterLines="100" w:after="312" w:line="480" w:lineRule="auto"/>
        <w:jc w:val="left"/>
        <w:rPr>
          <w:rFonts w:ascii="CaeciliaLTStd-R" w:hAnsi="CaeciliaLTStd-R" w:hint="eastAsia"/>
          <w:b/>
          <w:bCs/>
          <w:color w:val="000000" w:themeColor="text1"/>
          <w:sz w:val="28"/>
          <w:szCs w:val="28"/>
        </w:rPr>
      </w:pPr>
      <w:r w:rsidRPr="00FB4B24">
        <w:rPr>
          <w:rFonts w:ascii="CaeciliaLTStd-R" w:hAnsi="CaeciliaLTStd-R" w:hint="eastAsia"/>
          <w:b/>
          <w:bCs/>
          <w:color w:val="000000" w:themeColor="text1"/>
          <w:sz w:val="28"/>
          <w:szCs w:val="28"/>
        </w:rPr>
        <w:t>Supplementary</w:t>
      </w:r>
      <w:r w:rsidRPr="00FB4B24">
        <w:rPr>
          <w:rFonts w:ascii="CaeciliaLTStd-R" w:hAnsi="CaeciliaLTStd-R"/>
          <w:b/>
          <w:bCs/>
          <w:color w:val="000000" w:themeColor="text1"/>
          <w:sz w:val="28"/>
          <w:szCs w:val="28"/>
        </w:rPr>
        <w:t xml:space="preserve"> </w:t>
      </w:r>
      <w:r w:rsidRPr="00FB4B24">
        <w:rPr>
          <w:rFonts w:ascii="CaeciliaLTStd-R" w:hAnsi="CaeciliaLTStd-R" w:hint="eastAsia"/>
          <w:b/>
          <w:bCs/>
          <w:color w:val="000000" w:themeColor="text1"/>
          <w:sz w:val="28"/>
          <w:szCs w:val="28"/>
        </w:rPr>
        <w:t>File</w:t>
      </w:r>
      <w:r w:rsidR="008F247D">
        <w:rPr>
          <w:rFonts w:ascii="CaeciliaLTStd-R" w:hAnsi="CaeciliaLTStd-R"/>
          <w:b/>
          <w:bCs/>
          <w:color w:val="000000" w:themeColor="text1"/>
          <w:sz w:val="28"/>
          <w:szCs w:val="28"/>
        </w:rPr>
        <w:t xml:space="preserve"> 1</w:t>
      </w:r>
    </w:p>
    <w:p w:rsidR="00FB4B24" w:rsidRPr="00737E95" w:rsidRDefault="00FB4B24" w:rsidP="00FB4B24">
      <w:pPr>
        <w:spacing w:afterLines="100" w:after="312" w:line="480" w:lineRule="auto"/>
        <w:jc w:val="center"/>
        <w:rPr>
          <w:rFonts w:ascii="CaeciliaLTStd-R" w:hAnsi="CaeciliaLTStd-R" w:hint="eastAsia"/>
          <w:b/>
          <w:bCs/>
          <w:color w:val="000000" w:themeColor="text1"/>
          <w:sz w:val="28"/>
          <w:szCs w:val="28"/>
        </w:rPr>
      </w:pPr>
      <w:r w:rsidRPr="00737E95">
        <w:rPr>
          <w:rFonts w:ascii="CaeciliaLTStd-R" w:hAnsi="CaeciliaLTStd-R"/>
          <w:b/>
          <w:bCs/>
          <w:color w:val="000000" w:themeColor="text1"/>
          <w:sz w:val="28"/>
          <w:szCs w:val="28"/>
        </w:rPr>
        <w:t>Experimental evaluation and comparison of multi-omics data integration methods for cancer subtyping</w:t>
      </w:r>
    </w:p>
    <w:p w:rsidR="00FB4B24" w:rsidRPr="00737E95" w:rsidRDefault="00FB4B24" w:rsidP="00FB4B24">
      <w:pPr>
        <w:spacing w:afterLines="100" w:after="312" w:line="480" w:lineRule="auto"/>
        <w:rPr>
          <w:rFonts w:ascii="CaeciliaLTStd-R" w:hAnsi="CaeciliaLTStd-R" w:hint="eastAsia"/>
          <w:color w:val="000000" w:themeColor="text1"/>
          <w:sz w:val="20"/>
          <w:szCs w:val="20"/>
        </w:rPr>
      </w:pPr>
      <w:r w:rsidRPr="00737E95">
        <w:rPr>
          <w:rFonts w:ascii="CaeciliaLTStd-R" w:hAnsi="CaeciliaLTStd-R"/>
          <w:color w:val="000000" w:themeColor="text1"/>
          <w:sz w:val="20"/>
          <w:szCs w:val="20"/>
        </w:rPr>
        <w:t>Ran Duan, Lin Gao, Yong Gao, Yuxuan Hu</w:t>
      </w:r>
      <w:r>
        <w:rPr>
          <w:rFonts w:ascii="CaeciliaLTStd-R" w:hAnsi="CaeciliaLTStd-R" w:hint="eastAsia"/>
          <w:color w:val="000000" w:themeColor="text1"/>
          <w:sz w:val="20"/>
          <w:szCs w:val="20"/>
        </w:rPr>
        <w:t>,</w:t>
      </w:r>
      <w:r w:rsidRPr="00737E95">
        <w:rPr>
          <w:rFonts w:ascii="CaeciliaLTStd-R" w:hAnsi="CaeciliaLTStd-R"/>
          <w:color w:val="000000" w:themeColor="text1"/>
          <w:sz w:val="20"/>
          <w:szCs w:val="20"/>
        </w:rPr>
        <w:t xml:space="preserve"> Han Xu, Kuo Song, Yongqiang Dong, </w:t>
      </w:r>
      <w:r w:rsidRPr="00737E95">
        <w:rPr>
          <w:rFonts w:ascii="CaeciliaLTStd-R" w:hAnsi="CaeciliaLTStd-R" w:hint="eastAsia"/>
          <w:color w:val="000000" w:themeColor="text1"/>
          <w:sz w:val="20"/>
          <w:szCs w:val="20"/>
        </w:rPr>
        <w:t>H</w:t>
      </w:r>
      <w:r w:rsidRPr="00737E95">
        <w:rPr>
          <w:rFonts w:ascii="CaeciliaLTStd-R" w:hAnsi="CaeciliaLTStd-R"/>
          <w:color w:val="000000" w:themeColor="text1"/>
          <w:sz w:val="20"/>
          <w:szCs w:val="20"/>
        </w:rPr>
        <w:t>ongda Wang, Chenxing Zhang, Mingfeng Huang and Songwei Jia</w:t>
      </w:r>
    </w:p>
    <w:p w:rsidR="00FB4B24" w:rsidRDefault="00FB4B24"/>
    <w:p w:rsidR="00FB4B24" w:rsidRPr="00FB4B24" w:rsidRDefault="009F3461" w:rsidP="009F3461">
      <w:pPr>
        <w:widowControl/>
        <w:spacing w:after="200" w:line="480" w:lineRule="auto"/>
        <w:jc w:val="left"/>
        <w:outlineLvl w:val="0"/>
        <w:rPr>
          <w:rFonts w:ascii="CaeciliaLTStd-R" w:eastAsia="宋体" w:hAnsi="CaeciliaLTStd-R" w:cs="Arial" w:hint="eastAsia"/>
          <w:b/>
          <w:bCs/>
          <w:color w:val="000000" w:themeColor="text1"/>
          <w:kern w:val="0"/>
          <w:sz w:val="26"/>
          <w:szCs w:val="26"/>
          <w:lang w:val="en-GB"/>
        </w:rPr>
      </w:pPr>
      <w:r>
        <w:rPr>
          <w:rFonts w:ascii="CaeciliaLTStd-R" w:eastAsia="宋体" w:hAnsi="CaeciliaLTStd-R" w:cs="Arial" w:hint="eastAsia"/>
          <w:b/>
          <w:bCs/>
          <w:color w:val="000000" w:themeColor="text1"/>
          <w:kern w:val="0"/>
          <w:sz w:val="26"/>
          <w:szCs w:val="26"/>
          <w:lang w:val="en-GB"/>
        </w:rPr>
        <w:t>1</w:t>
      </w:r>
      <w:r>
        <w:rPr>
          <w:rFonts w:ascii="CaeciliaLTStd-R" w:eastAsia="宋体" w:hAnsi="CaeciliaLTStd-R" w:cs="Arial"/>
          <w:b/>
          <w:bCs/>
          <w:color w:val="000000" w:themeColor="text1"/>
          <w:kern w:val="0"/>
          <w:sz w:val="26"/>
          <w:szCs w:val="26"/>
          <w:lang w:val="en-GB"/>
        </w:rPr>
        <w:t xml:space="preserve">. </w:t>
      </w:r>
      <w:r w:rsidR="00FB4B24" w:rsidRPr="00FB4B24">
        <w:rPr>
          <w:rFonts w:ascii="CaeciliaLTStd-R" w:eastAsia="宋体" w:hAnsi="CaeciliaLTStd-R" w:cs="Arial"/>
          <w:b/>
          <w:bCs/>
          <w:color w:val="000000" w:themeColor="text1"/>
          <w:kern w:val="0"/>
          <w:sz w:val="26"/>
          <w:szCs w:val="26"/>
          <w:lang w:val="en-GB"/>
        </w:rPr>
        <w:t>Recommended k of each method</w:t>
      </w:r>
    </w:p>
    <w:p w:rsidR="009F3461" w:rsidRDefault="00FB4B24" w:rsidP="00A2637B">
      <w:pPr>
        <w:spacing w:after="200" w:line="480" w:lineRule="auto"/>
        <w:rPr>
          <w:rFonts w:ascii="CaeciliaLTStd-R" w:eastAsia="宋体" w:hAnsi="CaeciliaLTStd-R" w:cs="Arial" w:hint="eastAsia"/>
          <w:color w:val="000000" w:themeColor="text1"/>
          <w:kern w:val="0"/>
          <w:sz w:val="20"/>
          <w:szCs w:val="20"/>
          <w:lang w:val="en-GB"/>
        </w:rPr>
      </w:pPr>
      <w:r w:rsidRPr="00FB4B24">
        <w:rPr>
          <w:rFonts w:ascii="CaeciliaLTStd-R" w:eastAsia="宋体" w:hAnsi="CaeciliaLTStd-R" w:cs="Arial"/>
          <w:color w:val="000000" w:themeColor="text1"/>
          <w:kern w:val="0"/>
          <w:sz w:val="20"/>
          <w:szCs w:val="20"/>
          <w:lang w:val="en-GB"/>
        </w:rPr>
        <w:t xml:space="preserve">In this work, we chose nine typical methods to </w:t>
      </w:r>
      <w:r w:rsidR="00254CA8">
        <w:rPr>
          <w:rFonts w:ascii="CaeciliaLTStd-R" w:eastAsia="宋体" w:hAnsi="CaeciliaLTStd-R" w:cs="Arial" w:hint="eastAsia"/>
          <w:color w:val="000000" w:themeColor="text1"/>
          <w:kern w:val="0"/>
          <w:sz w:val="20"/>
          <w:szCs w:val="20"/>
          <w:lang w:val="en-GB"/>
        </w:rPr>
        <w:t>evaluate</w:t>
      </w:r>
      <w:r w:rsidR="0003018D">
        <w:rPr>
          <w:rFonts w:ascii="CaeciliaLTStd-R" w:eastAsia="宋体" w:hAnsi="CaeciliaLTStd-R" w:cs="Arial"/>
          <w:color w:val="000000" w:themeColor="text1"/>
          <w:kern w:val="0"/>
          <w:sz w:val="20"/>
          <w:szCs w:val="20"/>
          <w:lang w:val="en-GB"/>
        </w:rPr>
        <w:t>, compare</w:t>
      </w:r>
      <w:r w:rsidR="00254CA8">
        <w:rPr>
          <w:rFonts w:ascii="CaeciliaLTStd-R" w:eastAsia="宋体" w:hAnsi="CaeciliaLTStd-R" w:cs="Arial" w:hint="eastAsia"/>
          <w:color w:val="000000" w:themeColor="text1"/>
          <w:kern w:val="0"/>
          <w:sz w:val="20"/>
          <w:szCs w:val="20"/>
          <w:lang w:val="en-GB"/>
        </w:rPr>
        <w:t>,</w:t>
      </w:r>
      <w:r w:rsidRPr="00FB4B24">
        <w:rPr>
          <w:rFonts w:ascii="CaeciliaLTStd-R" w:eastAsia="宋体" w:hAnsi="CaeciliaLTStd-R" w:cs="Arial"/>
          <w:color w:val="000000" w:themeColor="text1"/>
          <w:kern w:val="0"/>
          <w:sz w:val="20"/>
          <w:szCs w:val="20"/>
          <w:lang w:val="en-GB"/>
        </w:rPr>
        <w:t xml:space="preserve"> and </w:t>
      </w:r>
      <w:r w:rsidR="00254CA8">
        <w:rPr>
          <w:rFonts w:ascii="CaeciliaLTStd-R" w:eastAsia="宋体" w:hAnsi="CaeciliaLTStd-R" w:cs="Arial" w:hint="eastAsia"/>
          <w:color w:val="000000" w:themeColor="text1"/>
          <w:kern w:val="0"/>
          <w:sz w:val="20"/>
          <w:szCs w:val="20"/>
          <w:lang w:val="en-GB"/>
        </w:rPr>
        <w:t>analyze</w:t>
      </w:r>
      <w:r w:rsidR="005A0BAC">
        <w:rPr>
          <w:rFonts w:ascii="CaeciliaLTStd-R" w:eastAsia="宋体" w:hAnsi="CaeciliaLTStd-R" w:cs="Arial"/>
          <w:color w:val="000000" w:themeColor="text1"/>
          <w:kern w:val="0"/>
          <w:sz w:val="20"/>
          <w:szCs w:val="20"/>
          <w:lang w:val="en-GB"/>
        </w:rPr>
        <w:t xml:space="preserve">, including iClusterBayes, LRAcluster, </w:t>
      </w:r>
      <w:r w:rsidR="005A0BAC">
        <w:rPr>
          <w:rFonts w:ascii="CaeciliaLTStd-R" w:eastAsia="宋体" w:hAnsi="CaeciliaLTStd-R" w:cs="Arial" w:hint="eastAsia"/>
          <w:color w:val="000000" w:themeColor="text1"/>
          <w:kern w:val="0"/>
          <w:sz w:val="20"/>
          <w:szCs w:val="20"/>
          <w:lang w:val="en-GB"/>
        </w:rPr>
        <w:t>SNF</w:t>
      </w:r>
      <w:r w:rsidR="005A0BAC">
        <w:rPr>
          <w:rFonts w:ascii="CaeciliaLTStd-R" w:eastAsia="宋体" w:hAnsi="CaeciliaLTStd-R" w:cs="Arial"/>
          <w:color w:val="000000" w:themeColor="text1"/>
          <w:kern w:val="0"/>
          <w:sz w:val="20"/>
          <w:szCs w:val="20"/>
          <w:lang w:val="en-GB"/>
        </w:rPr>
        <w:t>, PFA, NEMO, moCluster, CIMLR, MultiNMF, and PINS</w:t>
      </w:r>
      <w:r w:rsidRPr="00FB4B24">
        <w:rPr>
          <w:rFonts w:ascii="CaeciliaLTStd-R" w:eastAsia="宋体" w:hAnsi="CaeciliaLTStd-R" w:cs="Arial"/>
          <w:color w:val="000000" w:themeColor="text1"/>
          <w:kern w:val="0"/>
          <w:sz w:val="20"/>
          <w:szCs w:val="20"/>
          <w:lang w:val="en-GB"/>
        </w:rPr>
        <w:t>. We notice that, in these methods, iClusterBayes, SNF, PINS, NEMO, moCluster, and CIMLR have their criteria to estimate the best number of clusters based on different strategies. For SNF, NEMO, and CIMLR, they estimate the best number of clusters automatically according to eigen-gaps or rotation cost. For PINS, it automatically evaluates the instability of different connectivity matrices to determine the best k. For iClusterBayes and moCluster, they calculate different metrics (deviance ratios and Bayesian information criterion values for iClusterBayes, gap-statistic for moCluster) to generate a plot that is used to choose the best k by users manually. According to the criteria of these methods, we ran these methods using our Dataset #1</w:t>
      </w:r>
      <w:r w:rsidR="0003018D">
        <w:rPr>
          <w:rFonts w:ascii="CaeciliaLTStd-R" w:eastAsia="宋体" w:hAnsi="CaeciliaLTStd-R" w:cs="Arial"/>
          <w:color w:val="000000" w:themeColor="text1"/>
          <w:kern w:val="0"/>
          <w:sz w:val="20"/>
          <w:szCs w:val="20"/>
          <w:lang w:val="en-GB"/>
        </w:rPr>
        <w:t xml:space="preserve"> Nine-cancer datasets</w:t>
      </w:r>
      <w:r w:rsidRPr="00FB4B24">
        <w:rPr>
          <w:rFonts w:ascii="CaeciliaLTStd-R" w:eastAsia="宋体" w:hAnsi="CaeciliaLTStd-R" w:cs="Arial"/>
          <w:color w:val="000000" w:themeColor="text1"/>
          <w:kern w:val="0"/>
          <w:sz w:val="20"/>
          <w:szCs w:val="20"/>
          <w:lang w:val="en-GB"/>
        </w:rPr>
        <w:t xml:space="preserve">. Table S1 shows every recommended k by different methods. </w:t>
      </w:r>
    </w:p>
    <w:p w:rsidR="009F3461" w:rsidRDefault="009F3461" w:rsidP="00A2637B">
      <w:pPr>
        <w:spacing w:after="200" w:line="480" w:lineRule="auto"/>
        <w:rPr>
          <w:rFonts w:ascii="CaeciliaLTStd-R" w:eastAsia="宋体" w:hAnsi="CaeciliaLTStd-R" w:cs="Arial" w:hint="eastAsia"/>
          <w:color w:val="000000" w:themeColor="text1"/>
          <w:kern w:val="0"/>
          <w:sz w:val="20"/>
          <w:szCs w:val="20"/>
          <w:lang w:val="en-GB"/>
        </w:rPr>
      </w:pPr>
    </w:p>
    <w:p w:rsidR="009F3461" w:rsidRDefault="009F3461" w:rsidP="00A2637B">
      <w:pPr>
        <w:spacing w:after="200" w:line="480" w:lineRule="auto"/>
        <w:rPr>
          <w:rFonts w:ascii="CaeciliaLTStd-R" w:eastAsia="宋体" w:hAnsi="CaeciliaLTStd-R" w:cs="Arial" w:hint="eastAsia"/>
          <w:color w:val="000000" w:themeColor="text1"/>
          <w:kern w:val="0"/>
          <w:sz w:val="20"/>
          <w:szCs w:val="20"/>
          <w:lang w:val="en-GB"/>
        </w:rPr>
      </w:pPr>
    </w:p>
    <w:p w:rsidR="009F3461" w:rsidRDefault="009F3461" w:rsidP="009F3461">
      <w:pPr>
        <w:rPr>
          <w:rFonts w:ascii="Times New Roman" w:hAnsi="Times New Roman" w:cs="Times New Roman"/>
          <w:szCs w:val="21"/>
        </w:rPr>
      </w:pPr>
    </w:p>
    <w:tbl>
      <w:tblPr>
        <w:tblW w:w="8684" w:type="dxa"/>
        <w:tblLook w:val="04A0" w:firstRow="1" w:lastRow="0" w:firstColumn="1" w:lastColumn="0" w:noHBand="0" w:noVBand="1"/>
      </w:tblPr>
      <w:tblGrid>
        <w:gridCol w:w="756"/>
        <w:gridCol w:w="963"/>
        <w:gridCol w:w="336"/>
        <w:gridCol w:w="336"/>
        <w:gridCol w:w="436"/>
        <w:gridCol w:w="409"/>
        <w:gridCol w:w="368"/>
        <w:gridCol w:w="424"/>
        <w:gridCol w:w="409"/>
        <w:gridCol w:w="343"/>
        <w:gridCol w:w="424"/>
        <w:gridCol w:w="336"/>
        <w:gridCol w:w="336"/>
        <w:gridCol w:w="461"/>
        <w:gridCol w:w="432"/>
        <w:gridCol w:w="388"/>
        <w:gridCol w:w="303"/>
        <w:gridCol w:w="432"/>
        <w:gridCol w:w="344"/>
        <w:gridCol w:w="448"/>
      </w:tblGrid>
      <w:tr w:rsidR="009F3461" w:rsidRPr="00715F0D" w:rsidTr="00384A68">
        <w:trPr>
          <w:trHeight w:val="180"/>
        </w:trPr>
        <w:tc>
          <w:tcPr>
            <w:tcW w:w="75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Methods</w:t>
            </w:r>
          </w:p>
        </w:tc>
        <w:tc>
          <w:tcPr>
            <w:tcW w:w="96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9F3461"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Data</w:t>
            </w:r>
          </w:p>
          <w:p w:rsidR="009F3461" w:rsidRPr="00715F0D" w:rsidRDefault="009F3461" w:rsidP="00384A68">
            <w:pPr>
              <w:widowControl/>
              <w:jc w:val="center"/>
              <w:rPr>
                <w:rFonts w:ascii="Times New Roman" w:eastAsia="DengXian" w:hAnsi="Times New Roman" w:cs="Times New Roman"/>
                <w:b/>
                <w:bCs/>
                <w:color w:val="000000"/>
                <w:kern w:val="0"/>
                <w:sz w:val="12"/>
                <w:szCs w:val="12"/>
              </w:rPr>
            </w:pPr>
            <w:r>
              <w:rPr>
                <w:rFonts w:ascii="Times New Roman" w:eastAsia="DengXian" w:hAnsi="Times New Roman" w:cs="Times New Roman" w:hint="eastAsia"/>
                <w:b/>
                <w:bCs/>
                <w:color w:val="000000"/>
                <w:kern w:val="0"/>
                <w:sz w:val="12"/>
                <w:szCs w:val="12"/>
              </w:rPr>
              <w:t>C</w:t>
            </w:r>
            <w:r>
              <w:rPr>
                <w:rFonts w:ascii="Times New Roman" w:eastAsia="DengXian" w:hAnsi="Times New Roman" w:cs="Times New Roman"/>
                <w:b/>
                <w:bCs/>
                <w:color w:val="000000"/>
                <w:kern w:val="0"/>
                <w:sz w:val="12"/>
                <w:szCs w:val="12"/>
              </w:rPr>
              <w:t>ombination</w:t>
            </w:r>
          </w:p>
        </w:tc>
        <w:tc>
          <w:tcPr>
            <w:tcW w:w="3485" w:type="dxa"/>
            <w:gridSpan w:val="9"/>
            <w:tcBorders>
              <w:top w:val="single" w:sz="8" w:space="0" w:color="auto"/>
              <w:left w:val="nil"/>
              <w:bottom w:val="single" w:sz="8" w:space="0" w:color="auto"/>
              <w:right w:val="single" w:sz="8" w:space="0" w:color="000000"/>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Complete Datasets</w:t>
            </w:r>
          </w:p>
        </w:tc>
        <w:tc>
          <w:tcPr>
            <w:tcW w:w="3480" w:type="dxa"/>
            <w:gridSpan w:val="9"/>
            <w:tcBorders>
              <w:top w:val="single" w:sz="8" w:space="0" w:color="auto"/>
              <w:left w:val="nil"/>
              <w:bottom w:val="single" w:sz="8" w:space="0" w:color="auto"/>
              <w:right w:val="single" w:sz="8" w:space="0" w:color="000000"/>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Significant Datasets</w:t>
            </w:r>
          </w:p>
        </w:tc>
      </w:tr>
      <w:tr w:rsidR="009F3461" w:rsidRPr="00715F0D" w:rsidTr="00384A68">
        <w:trPr>
          <w:trHeight w:val="180"/>
        </w:trPr>
        <w:tc>
          <w:tcPr>
            <w:tcW w:w="756" w:type="dxa"/>
            <w:vMerge/>
            <w:tcBorders>
              <w:top w:val="single" w:sz="8" w:space="0" w:color="auto"/>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vMerge/>
            <w:tcBorders>
              <w:top w:val="single" w:sz="8" w:space="0" w:color="auto"/>
              <w:left w:val="nil"/>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336"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B</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C</w:t>
            </w:r>
          </w:p>
        </w:tc>
        <w:tc>
          <w:tcPr>
            <w:tcW w:w="4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KC</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LA</w:t>
            </w:r>
          </w:p>
        </w:tc>
        <w:tc>
          <w:tcPr>
            <w:tcW w:w="368"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LS</w:t>
            </w:r>
          </w:p>
        </w:tc>
        <w:tc>
          <w:tcPr>
            <w:tcW w:w="424"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A</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KP</w:t>
            </w:r>
          </w:p>
        </w:tc>
        <w:tc>
          <w:tcPr>
            <w:tcW w:w="343"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LI</w:t>
            </w:r>
          </w:p>
        </w:tc>
        <w:tc>
          <w:tcPr>
            <w:tcW w:w="424"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T</w:t>
            </w:r>
          </w:p>
        </w:tc>
        <w:tc>
          <w:tcPr>
            <w:tcW w:w="336"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B</w:t>
            </w:r>
          </w:p>
        </w:tc>
        <w:tc>
          <w:tcPr>
            <w:tcW w:w="336"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C</w:t>
            </w:r>
          </w:p>
        </w:tc>
        <w:tc>
          <w:tcPr>
            <w:tcW w:w="461"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KC</w:t>
            </w:r>
          </w:p>
        </w:tc>
        <w:tc>
          <w:tcPr>
            <w:tcW w:w="432"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LA</w:t>
            </w:r>
          </w:p>
        </w:tc>
        <w:tc>
          <w:tcPr>
            <w:tcW w:w="388"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LS</w:t>
            </w:r>
          </w:p>
        </w:tc>
        <w:tc>
          <w:tcPr>
            <w:tcW w:w="303"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A</w:t>
            </w:r>
          </w:p>
        </w:tc>
        <w:tc>
          <w:tcPr>
            <w:tcW w:w="432"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KP</w:t>
            </w:r>
          </w:p>
        </w:tc>
        <w:tc>
          <w:tcPr>
            <w:tcW w:w="344"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LI</w:t>
            </w:r>
          </w:p>
        </w:tc>
        <w:tc>
          <w:tcPr>
            <w:tcW w:w="448"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T</w:t>
            </w:r>
          </w:p>
        </w:tc>
      </w:tr>
      <w:tr w:rsidR="009F3461" w:rsidRPr="00715F0D" w:rsidTr="00384A68">
        <w:trPr>
          <w:trHeight w:val="180"/>
        </w:trPr>
        <w:tc>
          <w:tcPr>
            <w:tcW w:w="756" w:type="dxa"/>
            <w:vMerge w:val="restart"/>
            <w:tcBorders>
              <w:top w:val="nil"/>
              <w:left w:val="single" w:sz="8" w:space="0" w:color="auto"/>
              <w:bottom w:val="single" w:sz="8" w:space="0" w:color="000000"/>
              <w:right w:val="single" w:sz="8" w:space="0" w:color="auto"/>
            </w:tcBorders>
            <w:shd w:val="clear" w:color="auto" w:fill="auto"/>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iCluster</w:t>
            </w:r>
            <w:r w:rsidRPr="00715F0D">
              <w:rPr>
                <w:rFonts w:ascii="Times New Roman" w:eastAsia="DengXian" w:hAnsi="Times New Roman" w:cs="Times New Roman"/>
                <w:b/>
                <w:bCs/>
                <w:color w:val="000000"/>
                <w:kern w:val="0"/>
                <w:sz w:val="12"/>
                <w:szCs w:val="12"/>
              </w:rPr>
              <w:br/>
              <w:t>Bayes</w:t>
            </w: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m_mi_me_cnv</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val="restart"/>
            <w:tcBorders>
              <w:top w:val="nil"/>
              <w:left w:val="single" w:sz="8" w:space="0" w:color="auto"/>
              <w:bottom w:val="single" w:sz="8" w:space="0" w:color="000000"/>
              <w:right w:val="single" w:sz="8" w:space="0" w:color="auto"/>
            </w:tcBorders>
            <w:shd w:val="clear" w:color="auto" w:fill="auto"/>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SNF</w:t>
            </w: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single" w:sz="8" w:space="0" w:color="auto"/>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m_mi_me_cnv</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44"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val="restart"/>
            <w:tcBorders>
              <w:top w:val="nil"/>
              <w:left w:val="single" w:sz="8" w:space="0" w:color="auto"/>
              <w:bottom w:val="single" w:sz="8" w:space="0" w:color="000000"/>
              <w:right w:val="single" w:sz="8" w:space="0" w:color="auto"/>
            </w:tcBorders>
            <w:shd w:val="clear" w:color="auto" w:fill="auto"/>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PINS</w:t>
            </w: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18</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39</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16</w:t>
            </w:r>
          </w:p>
        </w:tc>
        <w:tc>
          <w:tcPr>
            <w:tcW w:w="424" w:type="dxa"/>
            <w:tcBorders>
              <w:top w:val="single" w:sz="8" w:space="0" w:color="auto"/>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single" w:sz="8" w:space="0" w:color="auto"/>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10</w:t>
            </w:r>
          </w:p>
        </w:tc>
        <w:tc>
          <w:tcPr>
            <w:tcW w:w="343" w:type="dxa"/>
            <w:tcBorders>
              <w:top w:val="single" w:sz="8" w:space="0" w:color="auto"/>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12</w:t>
            </w:r>
          </w:p>
        </w:tc>
        <w:tc>
          <w:tcPr>
            <w:tcW w:w="424" w:type="dxa"/>
            <w:tcBorders>
              <w:top w:val="single" w:sz="8" w:space="0" w:color="auto"/>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14</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14</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25</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28</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11</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11</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34</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32</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4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11</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51</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30</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19</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21</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m_cnv</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14</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11</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11</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26</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27</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16</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9</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24</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11</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17</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18</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17</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15</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mi_cnv</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9</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14</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15</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11</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10</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14</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17</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25</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me_cnv</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13</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4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30</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16</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19</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9</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m_mi_cnv</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9</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m_me_cnv</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mi_me_cnv</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m_mi_me_cnv</w:t>
            </w:r>
          </w:p>
        </w:tc>
        <w:tc>
          <w:tcPr>
            <w:tcW w:w="336"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6"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24"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43"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24"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val="restart"/>
            <w:tcBorders>
              <w:top w:val="nil"/>
              <w:left w:val="single" w:sz="8" w:space="0" w:color="auto"/>
              <w:bottom w:val="single" w:sz="8" w:space="0" w:color="000000"/>
              <w:right w:val="single" w:sz="8" w:space="0" w:color="auto"/>
            </w:tcBorders>
            <w:shd w:val="clear" w:color="auto" w:fill="auto"/>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NEMO</w:t>
            </w: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36"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32"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88"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48" w:type="dxa"/>
            <w:tcBorders>
              <w:top w:val="single" w:sz="8" w:space="0" w:color="auto"/>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m_mi_me_cnv</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24"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4"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48"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r>
      <w:tr w:rsidR="009F3461" w:rsidRPr="00715F0D" w:rsidTr="00384A68">
        <w:trPr>
          <w:trHeight w:val="180"/>
        </w:trPr>
        <w:tc>
          <w:tcPr>
            <w:tcW w:w="756" w:type="dxa"/>
            <w:vMerge w:val="restart"/>
            <w:tcBorders>
              <w:top w:val="nil"/>
              <w:left w:val="single" w:sz="8" w:space="0" w:color="auto"/>
              <w:bottom w:val="single" w:sz="8" w:space="0" w:color="000000"/>
              <w:right w:val="single" w:sz="8" w:space="0" w:color="auto"/>
            </w:tcBorders>
            <w:shd w:val="clear" w:color="auto" w:fill="auto"/>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moCluster</w:t>
            </w: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single" w:sz="8" w:space="0" w:color="auto"/>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43" w:type="dxa"/>
            <w:tcBorders>
              <w:top w:val="single" w:sz="8" w:space="0" w:color="auto"/>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NA</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NA</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m_mi_me_cnv</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24"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NA</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43"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24"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r>
      <w:tr w:rsidR="009F3461" w:rsidRPr="00715F0D" w:rsidTr="00384A68">
        <w:trPr>
          <w:trHeight w:val="180"/>
        </w:trPr>
        <w:tc>
          <w:tcPr>
            <w:tcW w:w="756" w:type="dxa"/>
            <w:vMerge w:val="restart"/>
            <w:tcBorders>
              <w:top w:val="nil"/>
              <w:left w:val="single" w:sz="8" w:space="0" w:color="auto"/>
              <w:bottom w:val="single" w:sz="8" w:space="0" w:color="000000"/>
              <w:right w:val="single" w:sz="8" w:space="0" w:color="auto"/>
            </w:tcBorders>
            <w:shd w:val="clear" w:color="auto" w:fill="auto"/>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CIMLR</w:t>
            </w: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03"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single" w:sz="8" w:space="0" w:color="auto"/>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single" w:sz="8" w:space="0" w:color="auto"/>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48" w:type="dxa"/>
            <w:tcBorders>
              <w:top w:val="single" w:sz="8" w:space="0" w:color="auto"/>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mi_me_cnv</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4</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68"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3" w:type="dxa"/>
            <w:tcBorders>
              <w:top w:val="nil"/>
              <w:left w:val="single" w:sz="8" w:space="0" w:color="auto"/>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2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36"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388"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32" w:type="dxa"/>
            <w:tcBorders>
              <w:top w:val="nil"/>
              <w:left w:val="nil"/>
              <w:bottom w:val="nil"/>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344" w:type="dxa"/>
            <w:tcBorders>
              <w:top w:val="nil"/>
              <w:left w:val="single" w:sz="8" w:space="0" w:color="auto"/>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448" w:type="dxa"/>
            <w:tcBorders>
              <w:top w:val="nil"/>
              <w:left w:val="nil"/>
              <w:bottom w:val="nil"/>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r>
      <w:tr w:rsidR="009F3461" w:rsidRPr="00715F0D" w:rsidTr="00384A68">
        <w:trPr>
          <w:trHeight w:val="180"/>
        </w:trPr>
        <w:tc>
          <w:tcPr>
            <w:tcW w:w="756" w:type="dxa"/>
            <w:vMerge/>
            <w:tcBorders>
              <w:top w:val="nil"/>
              <w:left w:val="single" w:sz="8" w:space="0" w:color="auto"/>
              <w:bottom w:val="single" w:sz="8" w:space="0" w:color="000000"/>
              <w:right w:val="single" w:sz="8" w:space="0" w:color="auto"/>
            </w:tcBorders>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p>
        </w:tc>
        <w:tc>
          <w:tcPr>
            <w:tcW w:w="963"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m_mi_me_cnv</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36"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368"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c>
          <w:tcPr>
            <w:tcW w:w="424"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7</w:t>
            </w:r>
          </w:p>
        </w:tc>
        <w:tc>
          <w:tcPr>
            <w:tcW w:w="409"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6</w:t>
            </w:r>
          </w:p>
        </w:tc>
        <w:tc>
          <w:tcPr>
            <w:tcW w:w="343" w:type="dxa"/>
            <w:tcBorders>
              <w:top w:val="nil"/>
              <w:left w:val="single" w:sz="8" w:space="0" w:color="auto"/>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24"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36"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461"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32"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88"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303"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5</w:t>
            </w:r>
          </w:p>
        </w:tc>
        <w:tc>
          <w:tcPr>
            <w:tcW w:w="432" w:type="dxa"/>
            <w:tcBorders>
              <w:top w:val="nil"/>
              <w:left w:val="nil"/>
              <w:bottom w:val="single" w:sz="8" w:space="0" w:color="auto"/>
              <w:right w:val="nil"/>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3</w:t>
            </w:r>
          </w:p>
        </w:tc>
        <w:tc>
          <w:tcPr>
            <w:tcW w:w="344" w:type="dxa"/>
            <w:tcBorders>
              <w:top w:val="nil"/>
              <w:left w:val="single" w:sz="8" w:space="0" w:color="auto"/>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2</w:t>
            </w:r>
          </w:p>
        </w:tc>
        <w:tc>
          <w:tcPr>
            <w:tcW w:w="448" w:type="dxa"/>
            <w:tcBorders>
              <w:top w:val="nil"/>
              <w:left w:val="nil"/>
              <w:bottom w:val="single" w:sz="8" w:space="0" w:color="auto"/>
              <w:right w:val="single" w:sz="8" w:space="0" w:color="auto"/>
            </w:tcBorders>
            <w:shd w:val="clear" w:color="auto" w:fill="auto"/>
            <w:noWrap/>
            <w:vAlign w:val="center"/>
            <w:hideMark/>
          </w:tcPr>
          <w:p w:rsidR="009F3461" w:rsidRPr="00715F0D" w:rsidRDefault="009F3461" w:rsidP="00384A68">
            <w:pPr>
              <w:widowControl/>
              <w:jc w:val="center"/>
              <w:rPr>
                <w:rFonts w:ascii="Times New Roman" w:eastAsia="DengXian" w:hAnsi="Times New Roman" w:cs="Times New Roman"/>
                <w:b/>
                <w:bCs/>
                <w:color w:val="000000"/>
                <w:kern w:val="0"/>
                <w:sz w:val="12"/>
                <w:szCs w:val="12"/>
              </w:rPr>
            </w:pPr>
            <w:r w:rsidRPr="00715F0D">
              <w:rPr>
                <w:rFonts w:ascii="Times New Roman" w:eastAsia="DengXian" w:hAnsi="Times New Roman" w:cs="Times New Roman"/>
                <w:b/>
                <w:bCs/>
                <w:color w:val="000000"/>
                <w:kern w:val="0"/>
                <w:sz w:val="12"/>
                <w:szCs w:val="12"/>
              </w:rPr>
              <w:t>8</w:t>
            </w:r>
          </w:p>
        </w:tc>
      </w:tr>
    </w:tbl>
    <w:p w:rsidR="009F3461" w:rsidRPr="009D6B04" w:rsidRDefault="009F3461" w:rsidP="009D6B04">
      <w:pPr>
        <w:spacing w:after="200" w:line="480" w:lineRule="auto"/>
        <w:rPr>
          <w:rFonts w:ascii="CaeciliaLTStd-R" w:eastAsia="宋体" w:hAnsi="CaeciliaLTStd-R" w:cs="Arial" w:hint="eastAsia"/>
          <w:color w:val="000000" w:themeColor="text1"/>
          <w:kern w:val="0"/>
          <w:sz w:val="20"/>
          <w:szCs w:val="20"/>
          <w:lang w:val="en-GB"/>
        </w:rPr>
      </w:pPr>
      <w:r w:rsidRPr="009D6B04">
        <w:rPr>
          <w:rFonts w:ascii="CaeciliaLTStd-R" w:eastAsia="宋体" w:hAnsi="CaeciliaLTStd-R" w:cs="Arial" w:hint="eastAsia"/>
          <w:color w:val="000000" w:themeColor="text1"/>
          <w:kern w:val="0"/>
          <w:sz w:val="20"/>
          <w:szCs w:val="20"/>
          <w:lang w:val="en-GB"/>
        </w:rPr>
        <w:t>Table</w:t>
      </w:r>
      <w:r w:rsidRPr="009D6B04">
        <w:rPr>
          <w:rFonts w:ascii="CaeciliaLTStd-R" w:eastAsia="宋体" w:hAnsi="CaeciliaLTStd-R" w:cs="Arial"/>
          <w:color w:val="000000" w:themeColor="text1"/>
          <w:kern w:val="0"/>
          <w:sz w:val="20"/>
          <w:szCs w:val="20"/>
          <w:lang w:val="en-GB"/>
        </w:rPr>
        <w:t xml:space="preserve"> </w:t>
      </w:r>
      <w:r w:rsidRPr="009D6B04">
        <w:rPr>
          <w:rFonts w:ascii="CaeciliaLTStd-R" w:eastAsia="宋体" w:hAnsi="CaeciliaLTStd-R" w:cs="Arial" w:hint="eastAsia"/>
          <w:color w:val="000000" w:themeColor="text1"/>
          <w:kern w:val="0"/>
          <w:sz w:val="20"/>
          <w:szCs w:val="20"/>
          <w:lang w:val="en-GB"/>
        </w:rPr>
        <w:t>S</w:t>
      </w:r>
      <w:r w:rsidRPr="009D6B04">
        <w:rPr>
          <w:rFonts w:ascii="CaeciliaLTStd-R" w:eastAsia="宋体" w:hAnsi="CaeciliaLTStd-R" w:cs="Arial"/>
          <w:color w:val="000000" w:themeColor="text1"/>
          <w:kern w:val="0"/>
          <w:sz w:val="20"/>
          <w:szCs w:val="20"/>
          <w:lang w:val="en-GB"/>
        </w:rPr>
        <w:t>1. Recommended k of each method. Notations: B-BRCA, C-COAD, KC-KIRC, LA-LUAD, LS-LUSC, A-ACC, KP-KIRP, LI-LIHC, T-THYM. m-mRNA expression, mi-miRNA expression, me-DNA methylation, cnv-copy number variation.</w:t>
      </w:r>
    </w:p>
    <w:p w:rsidR="009F3461" w:rsidRDefault="009F3461" w:rsidP="00A2637B">
      <w:pPr>
        <w:spacing w:after="200" w:line="480" w:lineRule="auto"/>
        <w:rPr>
          <w:rFonts w:ascii="CaeciliaLTStd-R" w:eastAsia="宋体" w:hAnsi="CaeciliaLTStd-R" w:cs="Arial" w:hint="eastAsia"/>
          <w:color w:val="000000" w:themeColor="text1"/>
          <w:kern w:val="0"/>
          <w:sz w:val="20"/>
          <w:szCs w:val="20"/>
          <w:lang w:val="en-GB"/>
        </w:rPr>
      </w:pPr>
    </w:p>
    <w:p w:rsidR="009F3461" w:rsidRPr="009F3461" w:rsidRDefault="009F3461" w:rsidP="009F3461">
      <w:pPr>
        <w:widowControl/>
        <w:spacing w:after="200" w:line="480" w:lineRule="auto"/>
        <w:jc w:val="left"/>
        <w:outlineLvl w:val="0"/>
        <w:rPr>
          <w:rFonts w:ascii="CaeciliaLTStd-R" w:eastAsia="宋体" w:hAnsi="CaeciliaLTStd-R" w:cs="Arial" w:hint="eastAsia"/>
          <w:b/>
          <w:bCs/>
          <w:color w:val="000000" w:themeColor="text1"/>
          <w:kern w:val="0"/>
          <w:sz w:val="26"/>
          <w:szCs w:val="26"/>
          <w:lang w:val="en-GB"/>
        </w:rPr>
      </w:pPr>
      <w:r w:rsidRPr="009F3461">
        <w:rPr>
          <w:rFonts w:ascii="CaeciliaLTStd-R" w:eastAsia="宋体" w:hAnsi="CaeciliaLTStd-R" w:cs="Arial" w:hint="eastAsia"/>
          <w:b/>
          <w:bCs/>
          <w:color w:val="000000" w:themeColor="text1"/>
          <w:kern w:val="0"/>
          <w:sz w:val="26"/>
          <w:szCs w:val="26"/>
          <w:lang w:val="en-GB"/>
        </w:rPr>
        <w:t>2</w:t>
      </w:r>
      <w:r w:rsidRPr="009F3461">
        <w:rPr>
          <w:rFonts w:ascii="CaeciliaLTStd-R" w:eastAsia="宋体" w:hAnsi="CaeciliaLTStd-R" w:cs="Arial"/>
          <w:b/>
          <w:bCs/>
          <w:color w:val="000000" w:themeColor="text1"/>
          <w:kern w:val="0"/>
          <w:sz w:val="26"/>
          <w:szCs w:val="26"/>
          <w:lang w:val="en-GB"/>
        </w:rPr>
        <w:t>. Evaluation and Comparison based on recommended k</w:t>
      </w:r>
    </w:p>
    <w:p w:rsidR="00384A68" w:rsidRDefault="00FB4B24" w:rsidP="00A2637B">
      <w:pPr>
        <w:spacing w:after="200" w:line="480" w:lineRule="auto"/>
        <w:rPr>
          <w:rFonts w:ascii="CaeciliaLTStd-R" w:eastAsia="宋体" w:hAnsi="CaeciliaLTStd-R" w:cs="Arial" w:hint="eastAsia"/>
          <w:color w:val="000000" w:themeColor="text1"/>
          <w:kern w:val="0"/>
          <w:sz w:val="20"/>
          <w:szCs w:val="20"/>
          <w:lang w:val="en-GB"/>
        </w:rPr>
      </w:pPr>
      <w:r w:rsidRPr="00FB4B24">
        <w:rPr>
          <w:rFonts w:ascii="CaeciliaLTStd-R" w:eastAsia="宋体" w:hAnsi="CaeciliaLTStd-R" w:cs="Arial"/>
          <w:color w:val="000000" w:themeColor="text1"/>
          <w:kern w:val="0"/>
          <w:sz w:val="20"/>
          <w:szCs w:val="20"/>
          <w:lang w:val="en-GB"/>
        </w:rPr>
        <w:t>We also</w:t>
      </w:r>
      <w:r w:rsidR="009F3461">
        <w:rPr>
          <w:rFonts w:ascii="CaeciliaLTStd-R" w:eastAsia="宋体" w:hAnsi="CaeciliaLTStd-R" w:cs="Arial"/>
          <w:color w:val="000000" w:themeColor="text1"/>
          <w:kern w:val="0"/>
          <w:sz w:val="20"/>
          <w:szCs w:val="20"/>
          <w:lang w:val="en-GB"/>
        </w:rPr>
        <w:t xml:space="preserve"> evaluated and</w:t>
      </w:r>
      <w:r w:rsidRPr="00FB4B24">
        <w:rPr>
          <w:rFonts w:ascii="CaeciliaLTStd-R" w:eastAsia="宋体" w:hAnsi="CaeciliaLTStd-R" w:cs="Arial"/>
          <w:color w:val="000000" w:themeColor="text1"/>
          <w:kern w:val="0"/>
          <w:sz w:val="20"/>
          <w:szCs w:val="20"/>
          <w:lang w:val="en-GB"/>
        </w:rPr>
        <w:t xml:space="preserve"> compared the performance of these methods based on their recommended k. Figure S1 shows the results.</w:t>
      </w:r>
    </w:p>
    <w:p w:rsidR="00384A68" w:rsidRDefault="00384A68" w:rsidP="00A2637B">
      <w:pPr>
        <w:spacing w:after="200" w:line="480" w:lineRule="auto"/>
        <w:rPr>
          <w:rFonts w:ascii="CaeciliaLTStd-R" w:eastAsia="宋体" w:hAnsi="CaeciliaLTStd-R" w:cs="Arial" w:hint="eastAsia"/>
          <w:color w:val="000000" w:themeColor="text1"/>
          <w:kern w:val="0"/>
          <w:sz w:val="20"/>
          <w:szCs w:val="20"/>
          <w:lang w:val="en-GB"/>
        </w:rPr>
      </w:pPr>
      <w:r>
        <w:rPr>
          <w:rFonts w:ascii="CaeciliaLTStd-R" w:eastAsia="宋体" w:hAnsi="CaeciliaLTStd-R" w:cs="Arial" w:hint="eastAsia"/>
          <w:noProof/>
          <w:color w:val="000000" w:themeColor="text1"/>
          <w:kern w:val="0"/>
          <w:sz w:val="20"/>
          <w:szCs w:val="20"/>
          <w:lang w:val="en-GB"/>
        </w:rPr>
        <w:lastRenderedPageBreak/>
        <w:drawing>
          <wp:inline distT="0" distB="0" distL="0" distR="0">
            <wp:extent cx="5274310" cy="5975985"/>
            <wp:effectExtent l="0" t="0" r="0" b="5715"/>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1.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5975985"/>
                    </a:xfrm>
                    <a:prstGeom prst="rect">
                      <a:avLst/>
                    </a:prstGeom>
                  </pic:spPr>
                </pic:pic>
              </a:graphicData>
            </a:graphic>
          </wp:inline>
        </w:drawing>
      </w:r>
    </w:p>
    <w:p w:rsidR="00FB4B24" w:rsidRPr="00FB4B24" w:rsidRDefault="009D6B04" w:rsidP="00A70BAC">
      <w:pPr>
        <w:rPr>
          <w:rFonts w:ascii="CaeciliaLTStd-R" w:eastAsia="宋体" w:hAnsi="CaeciliaLTStd-R" w:cs="Arial" w:hint="eastAsia"/>
          <w:color w:val="000000" w:themeColor="text1"/>
          <w:kern w:val="0"/>
          <w:sz w:val="20"/>
          <w:szCs w:val="20"/>
          <w:lang w:val="en-GB"/>
        </w:rPr>
      </w:pPr>
      <w:r>
        <w:rPr>
          <w:rFonts w:ascii="CaeciliaLTStd-R" w:eastAsia="宋体" w:hAnsi="CaeciliaLTStd-R" w:cs="Arial" w:hint="eastAsia"/>
          <w:color w:val="000000" w:themeColor="text1"/>
          <w:kern w:val="0"/>
          <w:sz w:val="20"/>
          <w:szCs w:val="20"/>
          <w:lang w:val="en-GB"/>
        </w:rPr>
        <w:t>Figure</w:t>
      </w:r>
      <w:r>
        <w:rPr>
          <w:rFonts w:ascii="CaeciliaLTStd-R" w:eastAsia="宋体" w:hAnsi="CaeciliaLTStd-R" w:cs="Arial"/>
          <w:color w:val="000000" w:themeColor="text1"/>
          <w:kern w:val="0"/>
          <w:sz w:val="20"/>
          <w:szCs w:val="20"/>
          <w:lang w:val="en-GB"/>
        </w:rPr>
        <w:t xml:space="preserve"> </w:t>
      </w:r>
      <w:r>
        <w:rPr>
          <w:rFonts w:ascii="CaeciliaLTStd-R" w:eastAsia="宋体" w:hAnsi="CaeciliaLTStd-R" w:cs="Arial" w:hint="eastAsia"/>
          <w:color w:val="000000" w:themeColor="text1"/>
          <w:kern w:val="0"/>
          <w:sz w:val="20"/>
          <w:szCs w:val="20"/>
          <w:lang w:val="en-GB"/>
        </w:rPr>
        <w:t>S1.</w:t>
      </w:r>
      <w:r>
        <w:rPr>
          <w:rFonts w:ascii="CaeciliaLTStd-R" w:eastAsia="宋体" w:hAnsi="CaeciliaLTStd-R" w:cs="Arial"/>
          <w:color w:val="000000" w:themeColor="text1"/>
          <w:kern w:val="0"/>
          <w:sz w:val="20"/>
          <w:szCs w:val="20"/>
          <w:lang w:val="en-GB"/>
        </w:rPr>
        <w:t xml:space="preserve"> </w:t>
      </w:r>
      <w:r w:rsidR="00A16F69">
        <w:rPr>
          <w:rFonts w:ascii="CaeciliaLTStd-R" w:eastAsia="宋体" w:hAnsi="CaeciliaLTStd-R" w:cs="Arial"/>
          <w:color w:val="000000" w:themeColor="text1"/>
          <w:kern w:val="0"/>
          <w:sz w:val="20"/>
          <w:szCs w:val="20"/>
          <w:lang w:val="en-GB"/>
        </w:rPr>
        <w:t>Comparison of the performance based on recommended k.</w:t>
      </w:r>
      <w:r w:rsidR="00EE2133">
        <w:rPr>
          <w:rFonts w:ascii="CaeciliaLTStd-R" w:eastAsia="宋体" w:hAnsi="CaeciliaLTStd-R" w:cs="Arial"/>
          <w:color w:val="000000" w:themeColor="text1"/>
          <w:kern w:val="0"/>
          <w:sz w:val="20"/>
          <w:szCs w:val="20"/>
          <w:lang w:val="en-GB"/>
        </w:rPr>
        <w:t xml:space="preserve"> (A) Clinical-based performance comparison. </w:t>
      </w:r>
      <w:r w:rsidR="00EE2133">
        <w:rPr>
          <w:rFonts w:ascii="CaeciliaLTStd-R" w:eastAsia="宋体" w:hAnsi="CaeciliaLTStd-R" w:cs="Arial" w:hint="eastAsia"/>
          <w:color w:val="000000" w:themeColor="text1"/>
          <w:kern w:val="0"/>
          <w:sz w:val="20"/>
          <w:szCs w:val="20"/>
          <w:lang w:val="en-GB"/>
        </w:rPr>
        <w:t>T</w:t>
      </w:r>
      <w:r w:rsidR="00EE2133">
        <w:rPr>
          <w:rFonts w:ascii="CaeciliaLTStd-R" w:eastAsia="宋体" w:hAnsi="CaeciliaLTStd-R" w:cs="Arial"/>
          <w:color w:val="000000" w:themeColor="text1"/>
          <w:kern w:val="0"/>
          <w:sz w:val="20"/>
          <w:szCs w:val="20"/>
          <w:lang w:val="en-GB"/>
        </w:rPr>
        <w:t xml:space="preserve">he upper plot shows the </w:t>
      </w:r>
      <w:r w:rsidR="00EE2133" w:rsidRPr="00EE2133">
        <w:rPr>
          <w:rFonts w:ascii="CaeciliaLTStd-R" w:eastAsia="宋体" w:hAnsi="CaeciliaLTStd-R" w:cs="Arial"/>
          <w:color w:val="000000" w:themeColor="text1"/>
          <w:kern w:val="0"/>
          <w:sz w:val="20"/>
          <w:szCs w:val="20"/>
          <w:lang w:val="en-GB"/>
        </w:rPr>
        <w:t>cumulative</w:t>
      </w:r>
      <w:r w:rsidR="00EE2133">
        <w:rPr>
          <w:rFonts w:ascii="CaeciliaLTStd-R" w:eastAsia="宋体" w:hAnsi="CaeciliaLTStd-R" w:cs="Arial"/>
          <w:color w:val="000000" w:themeColor="text1"/>
          <w:kern w:val="0"/>
          <w:sz w:val="20"/>
          <w:szCs w:val="20"/>
          <w:lang w:val="en-GB"/>
        </w:rPr>
        <w:t xml:space="preserve"> transformed p-value of different cancer types, and the lower plot shows the </w:t>
      </w:r>
      <w:r w:rsidR="00EE2133" w:rsidRPr="00EE2133">
        <w:rPr>
          <w:rFonts w:ascii="CaeciliaLTStd-R" w:eastAsia="宋体" w:hAnsi="CaeciliaLTStd-R" w:cs="Arial"/>
          <w:color w:val="000000" w:themeColor="text1"/>
          <w:kern w:val="0"/>
          <w:sz w:val="20"/>
          <w:szCs w:val="20"/>
          <w:lang w:val="en-GB"/>
        </w:rPr>
        <w:t>cumulative</w:t>
      </w:r>
      <w:r w:rsidR="00EE2133">
        <w:rPr>
          <w:rFonts w:ascii="CaeciliaLTStd-R" w:eastAsia="宋体" w:hAnsi="CaeciliaLTStd-R" w:cs="Arial"/>
          <w:color w:val="000000" w:themeColor="text1"/>
          <w:kern w:val="0"/>
          <w:sz w:val="20"/>
          <w:szCs w:val="20"/>
          <w:lang w:val="en-GB"/>
        </w:rPr>
        <w:t xml:space="preserve"> number of clinical-significant subtyping results. </w:t>
      </w:r>
      <w:r w:rsidR="00A70BAC">
        <w:rPr>
          <w:rFonts w:ascii="CaeciliaLTStd-R" w:eastAsia="宋体" w:hAnsi="CaeciliaLTStd-R" w:cs="Arial"/>
          <w:color w:val="000000" w:themeColor="text1"/>
          <w:kern w:val="0"/>
          <w:sz w:val="20"/>
          <w:szCs w:val="20"/>
          <w:lang w:val="en-GB"/>
        </w:rPr>
        <w:t xml:space="preserve">NEMO and PINS have the best performance on complete and significant datasets, respectively, while moCluster performed the worst on both datasets. (B) Clustering-based performance comparison. </w:t>
      </w:r>
      <w:r w:rsidR="00A70BAC">
        <w:rPr>
          <w:rFonts w:ascii="CaeciliaLTStd-R" w:eastAsia="宋体" w:hAnsi="CaeciliaLTStd-R" w:cs="Arial" w:hint="eastAsia"/>
          <w:color w:val="000000" w:themeColor="text1"/>
          <w:kern w:val="0"/>
          <w:sz w:val="20"/>
          <w:szCs w:val="20"/>
          <w:lang w:val="en-GB"/>
        </w:rPr>
        <w:t>T</w:t>
      </w:r>
      <w:r w:rsidR="00A70BAC">
        <w:rPr>
          <w:rFonts w:ascii="CaeciliaLTStd-R" w:eastAsia="宋体" w:hAnsi="CaeciliaLTStd-R" w:cs="Arial"/>
          <w:color w:val="000000" w:themeColor="text1"/>
          <w:kern w:val="0"/>
          <w:sz w:val="20"/>
          <w:szCs w:val="20"/>
          <w:lang w:val="en-GB"/>
        </w:rPr>
        <w:t>he upper and lower plots show the silhouette coefficients of complete and significant datasets, respectively.</w:t>
      </w:r>
      <w:r w:rsidR="001B5E6B">
        <w:rPr>
          <w:rFonts w:ascii="CaeciliaLTStd-R" w:eastAsia="宋体" w:hAnsi="CaeciliaLTStd-R" w:cs="Arial"/>
          <w:color w:val="000000" w:themeColor="text1"/>
          <w:kern w:val="0"/>
          <w:sz w:val="20"/>
          <w:szCs w:val="20"/>
          <w:lang w:val="en-GB"/>
        </w:rPr>
        <w:t xml:space="preserve"> CIMLR had the highest silhouette coefficients in all the tests, while NEMO performed the worst in half of the tests.</w:t>
      </w:r>
    </w:p>
    <w:sectPr w:rsidR="00FB4B24" w:rsidRPr="00FB4B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eciliaLTStd-R">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B24"/>
    <w:rsid w:val="0003018D"/>
    <w:rsid w:val="000F5BCB"/>
    <w:rsid w:val="001B5E6B"/>
    <w:rsid w:val="00254CA8"/>
    <w:rsid w:val="00384A68"/>
    <w:rsid w:val="005A0BAC"/>
    <w:rsid w:val="008F247D"/>
    <w:rsid w:val="009D6B04"/>
    <w:rsid w:val="009F3461"/>
    <w:rsid w:val="00A16F69"/>
    <w:rsid w:val="00A2637B"/>
    <w:rsid w:val="00A70BAC"/>
    <w:rsid w:val="00EE2133"/>
    <w:rsid w:val="00FB4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5F6ED"/>
  <w15:chartTrackingRefBased/>
  <w15:docId w15:val="{B267ED8F-9983-0245-A12E-D4F47267C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basedOn w:val="a0"/>
    <w:link w:val="a4"/>
    <w:uiPriority w:val="99"/>
    <w:semiHidden/>
    <w:rsid w:val="009F3461"/>
    <w:rPr>
      <w:rFonts w:ascii="宋体" w:eastAsia="宋体"/>
      <w:sz w:val="18"/>
      <w:szCs w:val="18"/>
    </w:rPr>
  </w:style>
  <w:style w:type="paragraph" w:styleId="a4">
    <w:name w:val="Balloon Text"/>
    <w:basedOn w:val="a"/>
    <w:link w:val="a3"/>
    <w:uiPriority w:val="99"/>
    <w:semiHidden/>
    <w:unhideWhenUsed/>
    <w:rsid w:val="009F3461"/>
    <w:rPr>
      <w:rFonts w:ascii="宋体" w:eastAsia="宋体"/>
      <w:sz w:val="18"/>
      <w:szCs w:val="18"/>
    </w:rPr>
  </w:style>
  <w:style w:type="character" w:customStyle="1" w:styleId="a5">
    <w:name w:val="批注文字 字符"/>
    <w:basedOn w:val="a0"/>
    <w:link w:val="a6"/>
    <w:uiPriority w:val="99"/>
    <w:semiHidden/>
    <w:rsid w:val="009F3461"/>
  </w:style>
  <w:style w:type="paragraph" w:styleId="a6">
    <w:name w:val="annotation text"/>
    <w:basedOn w:val="a"/>
    <w:link w:val="a5"/>
    <w:uiPriority w:val="99"/>
    <w:semiHidden/>
    <w:unhideWhenUsed/>
    <w:rsid w:val="009F3461"/>
    <w:pPr>
      <w:jc w:val="left"/>
    </w:pPr>
  </w:style>
  <w:style w:type="character" w:customStyle="1" w:styleId="a7">
    <w:name w:val="批注主题 字符"/>
    <w:basedOn w:val="a5"/>
    <w:link w:val="a8"/>
    <w:uiPriority w:val="99"/>
    <w:semiHidden/>
    <w:rsid w:val="009F3461"/>
    <w:rPr>
      <w:b/>
      <w:bCs/>
    </w:rPr>
  </w:style>
  <w:style w:type="paragraph" w:styleId="a8">
    <w:name w:val="annotation subject"/>
    <w:basedOn w:val="a6"/>
    <w:next w:val="a6"/>
    <w:link w:val="a7"/>
    <w:uiPriority w:val="99"/>
    <w:semiHidden/>
    <w:unhideWhenUsed/>
    <w:rsid w:val="009F3461"/>
    <w:rPr>
      <w:b/>
      <w:bCs/>
    </w:rPr>
  </w:style>
  <w:style w:type="character" w:customStyle="1" w:styleId="a9">
    <w:name w:val="页眉 字符"/>
    <w:basedOn w:val="a0"/>
    <w:link w:val="aa"/>
    <w:uiPriority w:val="99"/>
    <w:rsid w:val="009F3461"/>
    <w:rPr>
      <w:sz w:val="18"/>
      <w:szCs w:val="18"/>
    </w:rPr>
  </w:style>
  <w:style w:type="paragraph" w:styleId="aa">
    <w:name w:val="header"/>
    <w:basedOn w:val="a"/>
    <w:link w:val="a9"/>
    <w:uiPriority w:val="99"/>
    <w:unhideWhenUsed/>
    <w:rsid w:val="009F3461"/>
    <w:pPr>
      <w:pBdr>
        <w:bottom w:val="single" w:sz="6" w:space="1" w:color="auto"/>
      </w:pBdr>
      <w:tabs>
        <w:tab w:val="center" w:pos="4153"/>
        <w:tab w:val="right" w:pos="8306"/>
      </w:tabs>
      <w:snapToGrid w:val="0"/>
      <w:jc w:val="center"/>
    </w:pPr>
    <w:rPr>
      <w:sz w:val="18"/>
      <w:szCs w:val="18"/>
    </w:rPr>
  </w:style>
  <w:style w:type="character" w:customStyle="1" w:styleId="ab">
    <w:name w:val="页脚 字符"/>
    <w:basedOn w:val="a0"/>
    <w:link w:val="ac"/>
    <w:uiPriority w:val="99"/>
    <w:rsid w:val="009F3461"/>
    <w:rPr>
      <w:sz w:val="18"/>
      <w:szCs w:val="18"/>
    </w:rPr>
  </w:style>
  <w:style w:type="paragraph" w:styleId="ac">
    <w:name w:val="footer"/>
    <w:basedOn w:val="a"/>
    <w:link w:val="ab"/>
    <w:uiPriority w:val="99"/>
    <w:unhideWhenUsed/>
    <w:rsid w:val="009F3461"/>
    <w:pPr>
      <w:tabs>
        <w:tab w:val="center" w:pos="4153"/>
        <w:tab w:val="right" w:pos="8306"/>
      </w:tabs>
      <w:snapToGrid w:val="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760400-EE03-8942-822F-AD8C09C5722C}">
  <we:reference id="wa200001011" version="1.1.0.0" store="en-001" storeType="OMEX"/>
  <we:alternateReferences>
    <we:reference id="wa200001011" version="1.1.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72</TotalTime>
  <Pages>4</Pages>
  <Words>835</Words>
  <Characters>4763</Characters>
  <Application>Microsoft Office Word</Application>
  <DocSecurity>0</DocSecurity>
  <Lines>39</Lines>
  <Paragraphs>11</Paragraphs>
  <ScaleCrop>false</ScaleCrop>
  <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段然</dc:creator>
  <cp:keywords/>
  <dc:description/>
  <cp:lastModifiedBy>段然</cp:lastModifiedBy>
  <cp:revision>8</cp:revision>
  <dcterms:created xsi:type="dcterms:W3CDTF">2020-11-14T02:59:00Z</dcterms:created>
  <dcterms:modified xsi:type="dcterms:W3CDTF">2020-11-14T17:04:00Z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documentId_4696</vt:lpwstr>
  </property>
  <property fmtid="{D5CDD505-2E9C-101B-9397-08002B2CF9AE}" pid="3" name="grammarly_documentContext">
    <vt:lpwstr>{"goals":[],"domain":"general","emotions":[],"dialect":"american"}</vt:lpwstr>
  </property>
</Properties>
</file>