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最新版论文完善建议</w:t>
      </w:r>
    </w:p>
    <w:p>
      <w:pPr>
        <w:jc w:val="center"/>
      </w:pPr>
      <w:r>
        <w:rPr>
          <w:color w:val="5A5A5A"/>
          <w:sz w:val="17"/>
        </w:rPr>
        <w:t>面向《软件学报》多模态数据管理与融合专刊 · 简体中文紧凑打印版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4F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总体判断：</w:t>
            </w:r>
            <w:r>
              <w:t>论文已具备完整稿件结构。当前最大风险不是篇章缺失，而是方法定义、数据来源、候选协议、实验公平性和结论表述之间尚未完全闭环。最优先证明：性能提升主要来自跨模态自适应融合，而不是候选集构造或实验协议差异。</w:t>
            </w:r>
          </w:p>
        </w:tc>
      </w:tr>
    </w:tbl>
    <w:p>
      <w:pPr>
        <w:pStyle w:val="Heading1"/>
      </w:pPr>
      <w:r>
        <w:t>一、必须优先解决的 6 个问题</w:t>
      </w:r>
    </w:p>
    <w:p>
      <w:pPr>
        <w:pStyle w:val="Heading2"/>
      </w:pPr>
      <w:r>
        <w:t>1. 候选召回改变了任务协议</w:t>
      </w:r>
    </w:p>
    <w:p>
      <w:pPr/>
      <w:r>
        <w:t>当前框架本质是“多源候选召回 + 多模态神经精排”。必须说明候选集大小、各路召回数量、候选召回率、热门补齐、训练/测试候选构造方式，以及基线是否使用相同候选集。否则无法判断提升来自CAF还是来自缩小搜索空间。</w:t>
      </w:r>
    </w:p>
    <w:p>
      <w:pPr>
        <w:ind w:left="142"/>
      </w:pPr>
      <w:r>
        <w:rPr>
          <w:b/>
        </w:rPr>
        <w:t>建议：</w:t>
      </w:r>
      <w:r>
        <w:t>至少增加 Transformer-full、CAF-full、Transformer-retrieval、CAF-retrieval 四组，并报告候选 Recall@C 与平均候选规模。</w:t>
      </w:r>
    </w:p>
    <w:p>
      <w:pPr>
        <w:pStyle w:val="Heading2"/>
      </w:pPr>
      <w:r>
        <w:t>2. 核实POI文本描述来源</w:t>
      </w:r>
    </w:p>
    <w:p>
      <w:pPr/>
      <w:r>
        <w:t>NYC/TKY常见版本通常稳定包含用户、POI、类别、坐标和时间戳，不一定含完整文本描述。若使用外部文本，必须说明来源、匹配率、未匹配处理、时间范围和可复现性；若实际仅有类别名称，应改称“类别语义表示”。</w:t>
      </w:r>
    </w:p>
    <w:p>
      <w:pPr>
        <w:ind w:left="142"/>
      </w:pPr>
      <w:r>
        <w:rPr>
          <w:b/>
        </w:rPr>
        <w:t>建议：</w:t>
      </w:r>
      <w:r>
        <w:t>这是最容易被质疑“方法描述超出真实数据”的风险点。</w:t>
      </w:r>
    </w:p>
    <w:p>
      <w:pPr>
        <w:pStyle w:val="Heading2"/>
      </w:pPr>
      <w:r>
        <w:t>3. 主结果结论必须与数值一致</w:t>
      </w:r>
    </w:p>
    <w:p>
      <w:pPr/>
      <w:r>
        <w:t>NYC上Ours的MRR为0.3512，低于LLM4POI的0.3590，不能暗示全部指标全面最优。应明确：两数据集HR@10和NDCG@10最优，TKY的MRR最优，NYC的MRR略低于LLM4POI。</w:t>
      </w:r>
    </w:p>
    <w:p>
      <w:pPr>
        <w:ind w:left="142"/>
      </w:pPr>
      <w:r>
        <w:rPr>
          <w:b/>
        </w:rPr>
        <w:t>建议：</w:t>
      </w:r>
      <w:r>
        <w:t>可解释为CAF更擅长提高Top-10覆盖与整体排序位置，而LLM4POI在部分样本的首位排序上更强。</w:t>
      </w:r>
    </w:p>
    <w:p>
      <w:pPr>
        <w:pStyle w:val="Heading2"/>
      </w:pPr>
      <w:r>
        <w:t>4. 跨模态注意力公式过于抽象</w:t>
      </w:r>
    </w:p>
    <w:p>
      <w:pPr/>
      <w:r>
        <w:t>需明确Q/K/V形状、交互发生在模态token还是序列/邻域层面、交互方向、残差与归一化。若每种模态只有单向量且key长度为1，attention会退化为V的线性变换。</w:t>
      </w:r>
    </w:p>
    <w:p>
      <w:pPr>
        <w:ind w:left="142"/>
      </w:pPr>
      <w:r>
        <w:rPr>
          <w:b/>
        </w:rPr>
        <w:t>建议：</w:t>
      </w:r>
      <w:r>
        <w:t>若代码是三模态token自注意力，可写 E_i∈R^(3×d) 并经过TransformerBlock；若是成对cross-attention，应说明key/value由多个POI或邻域表示构成。</w:t>
      </w:r>
    </w:p>
    <w:p>
      <w:pPr>
        <w:pStyle w:val="Heading2"/>
      </w:pPr>
      <w:r>
        <w:t>5. Alignment Loss定义不完整</w:t>
      </w:r>
    </w:p>
    <w:p>
      <w:pPr/>
      <w:r>
        <w:t>需说明正样本是否为同一POI跨模态表示，负样本是否来自批内其他POI，是否对称计算、哪些模态对参与、在交互前还是交互后对齐。</w:t>
      </w:r>
    </w:p>
    <w:p>
      <w:pPr>
        <w:ind w:left="142"/>
      </w:pPr>
      <w:r>
        <w:rPr>
          <w:b/>
        </w:rPr>
        <w:t>建议：</w:t>
      </w:r>
      <w:r>
        <w:t>建议给出批内InfoNCE及模态对求和公式；将目标表述为“增强同一POI跨模态对应性，同时保留模态差异”。</w:t>
      </w:r>
    </w:p>
    <w:p>
      <w:pPr>
        <w:pStyle w:val="Heading2"/>
      </w:pPr>
      <w:r>
        <w:t>6. 门控权重含义需澄清</w:t>
      </w:r>
    </w:p>
    <w:p>
      <w:pPr/>
      <w:r>
        <w:t>加权求和前应将三种模态投影到同维度并LayerNorm；明确门控是用户级、时间步级还是候选POI级。图4中语义平均权重低，但语义消融下降最大，说明门控权重不等于全局因果贡献。</w:t>
      </w:r>
    </w:p>
    <w:p>
      <w:pPr>
        <w:ind w:left="142"/>
      </w:pPr>
      <w:r>
        <w:rPr>
          <w:b/>
        </w:rPr>
        <w:t>建议：</w:t>
      </w:r>
      <w:r>
        <w:t>可补充 α_m‖e_m‖、表示范数或梯度贡献，并说明权重仅是融合缩放系数。</w:t>
      </w:r>
    </w:p>
    <w:p>
      <w:pPr>
        <w:pStyle w:val="Heading1"/>
      </w:pPr>
      <w:r>
        <w:t>二、方法定义需补齐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统一口径：</w:t>
      </w:r>
      <w:r>
        <w:rPr>
          <w:b w:val="0"/>
        </w:rPr>
        <w:t>更准确的结构是“三种POI模态（语义、拓扑、空间）+ 用户行为条件上下文”，而不是四种模态共同加权融合。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时间进入路径：</w:t>
      </w:r>
      <w:r>
        <w:rPr>
          <w:b w:val="0"/>
        </w:rPr>
        <w:t>明确Transformer输入是否包含时间、星期、间隔、位置编码和用户嵌入。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空间差分：</w:t>
      </w:r>
      <w:r>
        <w:rPr>
          <w:b w:val="0"/>
        </w:rPr>
        <w:t>历史编码应写 Δg_i=g_(p_i)-g_(p_(i-1))；候选排序应写 Δg_(t,p)=g_p-g_(p_t)，避免泄漏歧义。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拓扑图隔离：</w:t>
      </w:r>
      <w:r>
        <w:rPr>
          <w:b w:val="0"/>
        </w:rPr>
        <w:t>明确只用训练集构图；说明方向、边权、自环、Node2Vec参数与未见POI处理。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推荐损失：</w:t>
      </w:r>
      <w:r>
        <w:rPr>
          <w:b w:val="0"/>
        </w:rPr>
        <w:t>给出L_rec完整公式，说明全量softmax、候选交叉熵或负采样，以及训练时是否强制加入真实目标。</w:t>
      </w:r>
    </w:p>
    <w:p>
      <w:pPr>
        <w:pStyle w:val="Heading1"/>
      </w:pPr>
      <w:r>
        <w:t>三、实验设计需要加强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数据划分：</w:t>
      </w:r>
      <w:r>
        <w:rPr>
          <w:b w:val="0"/>
        </w:rPr>
        <w:t>明确过滤阈值、训练/验证/测试划分、测试样本数、滑窗、时区、session、截断和冷启动处理。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基线公平性：</w:t>
      </w:r>
      <w:r>
        <w:rPr>
          <w:b w:val="0"/>
        </w:rPr>
        <w:t>说明是否统一预处理、统一候选空间、统一序列长度与划分；结果来自官方代码重跑还是原论文。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波动与显著性：</w:t>
      </w:r>
      <w:r>
        <w:rPr>
          <w:b w:val="0"/>
        </w:rPr>
        <w:t>表2-表4报告 mean±std；主要基线增加显著性检验或bootstrap置信区间。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跨数据集消融：</w:t>
      </w:r>
      <w:r>
        <w:rPr>
          <w:b w:val="0"/>
        </w:rPr>
        <w:t>至少将核心模块消融扩展至TKY。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效率：</w:t>
      </w:r>
      <w:r>
        <w:rPr>
          <w:b w:val="0"/>
        </w:rPr>
        <w:t>报告参数量、候选数、训练时间、推理延迟、显存，以及全量排序与候选排序速度。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分组实验：</w:t>
      </w:r>
      <w:r>
        <w:rPr>
          <w:b w:val="0"/>
        </w:rPr>
        <w:t>优先按稀疏用户、长尾POI、距离或规律型/探索型用户分组，直接验证论文动机。</w:t>
      </w:r>
    </w:p>
    <w:p>
      <w:pPr>
        <w:pStyle w:val="Heading1"/>
      </w:pPr>
      <w:r>
        <w:t>四、建议新增实验清单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231"/>
        <w:gridCol w:w="5726"/>
      </w:tblGrid>
      <w:tr>
        <w:tc>
          <w:tcPr>
            <w:tcW w:type="dxa" w:w="362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362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实验</w:t>
            </w:r>
          </w:p>
        </w:tc>
        <w:tc>
          <w:tcPr>
            <w:tcW w:type="dxa" w:w="362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目的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候选召回/融合排序解耦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分离召回收益与CAF收益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统一协议重跑基线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保证表2公平可信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候选召回率与平均规模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说明上限与效率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mean±std与显著性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证明提升稳定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TKY核心模块消融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增强跨数据集证据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稀疏/长尾分组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支撑缓解稀疏动机</w:t>
            </w:r>
          </w:p>
        </w:tc>
      </w:tr>
      <w:tr>
        <w:tc>
          <w:tcPr>
            <w:tcW w:type="dxa" w:w="10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32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效率与复杂度</w:t>
            </w:r>
          </w:p>
        </w:tc>
        <w:tc>
          <w:tcPr>
            <w:tcW w:type="dxa" w:w="572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支撑召回+精排价值</w:t>
            </w:r>
          </w:p>
        </w:tc>
      </w:tr>
    </w:tbl>
    <w:p>
      <w:pPr>
        <w:pStyle w:val="Heading1"/>
      </w:pPr>
      <w:r>
        <w:t>五、可视化与解释分析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t-SNE：</w:t>
      </w:r>
      <w:r>
        <w:rPr>
          <w:b w:val="0"/>
        </w:rPr>
        <w:t>当前文字过于防御。保留时应弱化结论；更推荐增加跨模态检索Recall、同/异POI相似度差或类别内外距离等定量指标。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alignment gap：</w:t>
      </w:r>
      <w:r>
        <w:rPr>
          <w:b w:val="0"/>
        </w:rPr>
        <w:t>必须正式定义公式、样本范围和统计方式；承认不同模态对效果不均匀。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门控热力图：</w:t>
      </w:r>
      <w:r>
        <w:rPr>
          <w:b w:val="0"/>
        </w:rPr>
        <w:t>补充场景定义、距离阈值、样本量和误差；避免把平均权重直接解释为模态重要性。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参数敏感性：</w:t>
      </w:r>
      <w:r>
        <w:rPr>
          <w:b w:val="0"/>
        </w:rPr>
        <w:t>λ加入0，并扩展到0、0.001、0.005、0.01、0.05、0.1；纵轴优先使用绝对指标。</w:t>
      </w:r>
    </w:p>
    <w:p>
      <w:pPr>
        <w:pStyle w:val="Heading1"/>
      </w:pPr>
      <w:r>
        <w:t>六、论文定位与表达收紧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贡献点：</w:t>
      </w:r>
      <w:r>
        <w:rPr>
          <w:b w:val="0"/>
        </w:rPr>
        <w:t>弱化“统一表示框架”，突出跨模态交互、上下文条件化融合、候选召回与多模态精排协同。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相关工作：</w:t>
      </w:r>
      <w:r>
        <w:rPr>
          <w:b w:val="0"/>
        </w:rPr>
        <w:t>增加机制对比表，比较语义、拓扑、空间、时间、跨模态交互、动态融合和候选召回。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摘要：</w:t>
      </w:r>
      <w:r>
        <w:rPr>
          <w:b w:val="0"/>
        </w:rPr>
        <w:t>加入与最强基线相比的定量提升；不要写成所有指标全面优于。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结论：</w:t>
      </w:r>
      <w:r>
        <w:rPr>
          <w:b w:val="0"/>
        </w:rPr>
        <w:t>将“开放候选生成”改为“面向新增POI与开放集合的归纳式表示和候选生成”。</w:t>
      </w:r>
    </w:p>
    <w:p>
      <w:pPr>
        <w:pStyle w:val="Heading1"/>
      </w:pPr>
      <w:r>
        <w:t>七、图表修改要点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图2：</w:t>
      </w:r>
      <w:r>
        <w:rPr>
          <w:b w:val="0"/>
        </w:rPr>
        <w:t>明确用户上下文是门控条件；三模态先统一投影；交互箭头必须与代码一致；三路召回进入候选池，再由神经排序输出；标明时间嵌入进入Transformer的位置。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图3：</w:t>
      </w:r>
      <w:r>
        <w:rPr>
          <w:b w:val="0"/>
        </w:rPr>
        <w:t>统一轴范围、减少点密度、提高字体；图题改为“交互前后表示结构变化”。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图4：</w:t>
      </w:r>
      <w:r>
        <w:rPr>
          <w:b w:val="0"/>
        </w:rPr>
        <w:t>数值保留三位小数，补样本数和场景定义，解释语义权重低但消融影响大的原因。</w:t>
      </w:r>
    </w:p>
    <w:p>
      <w:pPr>
        <w:ind w:left="255" w:hanging="159"/>
      </w:pPr>
      <w:r>
        <w:rPr>
          <w:b/>
        </w:rPr>
        <w:t xml:space="preserve">• </w:t>
      </w:r>
      <w:r>
        <w:rPr>
          <w:b w:val="0"/>
        </w:rPr>
      </w:r>
      <w:r>
        <w:rPr>
          <w:b/>
        </w:rPr>
        <w:t>图5：</w:t>
      </w:r>
      <w:r>
        <w:rPr>
          <w:b w:val="0"/>
        </w:rPr>
        <w:t>优先显示绝对指标；λ加入0；避免窄纵轴放大微小差异。</w:t>
      </w:r>
    </w:p>
    <w:p>
      <w:pPr>
        <w:pStyle w:val="Heading1"/>
      </w:pPr>
      <w:r>
        <w:t>八、推荐修改顺序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c>
          <w:tcPr>
            <w:tcW w:type="dxa" w:w="5440"/>
            <w:shd w:fill="E2F0D9"/>
          </w:tcPr>
          <w:p>
            <w:pPr>
              <w:spacing w:after="0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type="dxa" w:w="5440"/>
            <w:shd w:fill="E2F0D9"/>
          </w:tcPr>
          <w:p>
            <w:pPr>
              <w:spacing w:after="0"/>
            </w:pPr>
            <w:r>
              <w:rPr>
                <w:b/>
                <w:sz w:val="16"/>
              </w:rPr>
              <w:t>主要任务</w:t>
            </w:r>
          </w:p>
        </w:tc>
      </w:tr>
      <w:t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第一轮：可信度闭环</w:t>
            </w:r>
          </w:p>
        </w:tc>
        <w:tc>
          <w:tcPr>
            <w:tcW w:type="dxa" w:w="771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核实文本来源；统一候选协议；修正主结果；补全公式；明确数据划分与损失。</w:t>
            </w:r>
          </w:p>
        </w:tc>
      </w:tr>
      <w:t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第二轮：实验增强</w:t>
            </w:r>
          </w:p>
        </w:tc>
        <w:tc>
          <w:tcPr>
            <w:tcW w:type="dxa" w:w="771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召回/排序解耦；标准差与显著性；TKY消融；候选召回率；效率与分组实验。</w:t>
            </w:r>
          </w:p>
        </w:tc>
      </w:tr>
      <w:t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第三轮：表达优化</w:t>
            </w:r>
          </w:p>
        </w:tc>
        <w:tc>
          <w:tcPr>
            <w:tcW w:type="dxa" w:w="771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重写贡献；弱化t-SNE；定义alignment gap；修改摘要、结论及图2-图5。</w:t>
            </w:r>
          </w:p>
        </w:tc>
      </w:tr>
    </w:tbl>
    <w:p>
      <w:pPr>
        <w:pStyle w:val="Heading1"/>
      </w:pPr>
      <w:r>
        <w:t>九、最终研判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选题与专刊方向匹配，论文结构也已完整。定稿前必须先回答：</w:t>
            </w:r>
            <w:r>
              <w:rPr>
                <w:b/>
              </w:rPr>
              <w:t>性能提升是否主要来自跨模态自适应融合，而不是候选构造、数据协议或实现差异？</w:t>
            </w:r>
            <w:r>
              <w:t>当前最值得投入时间的不是继续增加可视化，而是完成候选召回解耦、统一协议主结果、文本模态来源说明，以及公式与代码的一致化。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最新版论文完善建议 · 紧凑打印版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