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rFonts w:hint="eastAsia"/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  <w:rPr>
          <w:rFonts w:hint="eastAsia"/>
        </w:rPr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rFonts w:hint="eastAsia"/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  <w:bookmarkStart w:id="0" w:name="_GoBack"/>
    </w:p>
    <w:bookmarkEnd w:id="0"/>
    <w:p w:rsidR="002C50E5" w:rsidRDefault="002C50E5" w:rsidP="004542E7">
      <w:pPr>
        <w:pStyle w:val="a3"/>
        <w:ind w:left="420" w:firstLineChars="0" w:firstLine="0"/>
        <w:rPr>
          <w:rFonts w:hint="eastAsia"/>
        </w:rPr>
      </w:pPr>
    </w:p>
    <w:p w:rsidR="004542E7" w:rsidRPr="00021903" w:rsidRDefault="00437E49" w:rsidP="004542E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Default="004542E7" w:rsidP="004542E7">
      <w:pPr>
        <w:pStyle w:val="a3"/>
        <w:rPr>
          <w:rFonts w:hint="eastAsia"/>
        </w:rPr>
      </w:pPr>
    </w:p>
    <w:p w:rsidR="004542E7" w:rsidRDefault="004609F9" w:rsidP="004542E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考虑后续新项目</w:t>
      </w:r>
      <w:r>
        <w:rPr>
          <w:rFonts w:hint="eastAsia"/>
        </w:rPr>
        <w:t xml:space="preserve"> </w:t>
      </w:r>
      <w:r>
        <w:rPr>
          <w:rFonts w:hint="eastAsia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542E7" w:rsidRDefault="004542E7" w:rsidP="004542E7">
      <w:pPr>
        <w:pStyle w:val="a3"/>
        <w:ind w:left="420" w:firstLineChars="0" w:firstLine="0"/>
      </w:pPr>
    </w:p>
    <w:p w:rsidR="004609F9" w:rsidRDefault="004609F9" w:rsidP="004542E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考虑后续新项目</w:t>
      </w:r>
      <w:r>
        <w:rPr>
          <w:rFonts w:hint="eastAsia"/>
        </w:rPr>
        <w:t xml:space="preserve"> </w:t>
      </w:r>
      <w:r>
        <w:rPr>
          <w:rFonts w:hint="eastAsia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Default="004542E7" w:rsidP="004542E7">
      <w:pPr>
        <w:pStyle w:val="a3"/>
        <w:rPr>
          <w:rFonts w:hint="eastAsia"/>
        </w:rPr>
      </w:pPr>
    </w:p>
    <w:p w:rsidR="004542E7" w:rsidRDefault="004609F9" w:rsidP="004542E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考虑后续新项目</w:t>
      </w:r>
      <w:r>
        <w:rPr>
          <w:rFonts w:hint="eastAsia"/>
        </w:rPr>
        <w:t xml:space="preserve"> </w:t>
      </w:r>
      <w:r>
        <w:rPr>
          <w:rFonts w:hint="eastAsia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lastRenderedPageBreak/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Default="004542E7" w:rsidP="004542E7">
      <w:pPr>
        <w:pStyle w:val="a3"/>
        <w:ind w:left="420" w:firstLineChars="0" w:firstLine="0"/>
        <w:rPr>
          <w:rFonts w:hint="eastAsia"/>
        </w:rPr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Default="004542E7" w:rsidP="004542E7">
      <w:pPr>
        <w:pStyle w:val="a3"/>
        <w:rPr>
          <w:rFonts w:hint="eastAsia"/>
        </w:rPr>
      </w:pPr>
    </w:p>
    <w:p w:rsidR="004542E7" w:rsidRDefault="004542E7" w:rsidP="004542E7">
      <w:pPr>
        <w:pStyle w:val="a3"/>
        <w:ind w:left="420" w:firstLineChars="0" w:firstLine="0"/>
        <w:rPr>
          <w:rFonts w:hint="eastAsia"/>
        </w:rPr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Default="004542E7" w:rsidP="004542E7">
      <w:pPr>
        <w:pStyle w:val="a3"/>
        <w:ind w:left="420" w:firstLineChars="0" w:firstLine="0"/>
        <w:rPr>
          <w:rFonts w:hint="eastAsia"/>
        </w:rPr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Default="004542E7" w:rsidP="004542E7">
      <w:pPr>
        <w:pStyle w:val="a3"/>
        <w:rPr>
          <w:rFonts w:hint="eastAsia"/>
        </w:rPr>
      </w:pPr>
    </w:p>
    <w:p w:rsidR="004542E7" w:rsidRDefault="004542E7" w:rsidP="004542E7">
      <w:pPr>
        <w:pStyle w:val="a3"/>
        <w:ind w:left="420" w:firstLineChars="0" w:firstLine="0"/>
        <w:rPr>
          <w:rFonts w:hint="eastAsia"/>
        </w:rPr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8E69E2" w:rsidRDefault="008E69E2" w:rsidP="008E69E2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8548D6" w:rsidRDefault="008E756E" w:rsidP="008E756E">
      <w:r>
        <w:rPr>
          <w:rFonts w:hint="eastAsia"/>
        </w:rPr>
        <w:t>考虑无慧眼轮时按错次数高的优化</w:t>
      </w:r>
    </w:p>
    <w:p w:rsidR="008548D6" w:rsidRDefault="008548D6" w:rsidP="007F3310"/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6D5B3A" w:rsidRPr="003F690D" w:rsidRDefault="006D5B3A" w:rsidP="003F690D">
      <w:r w:rsidRPr="006D5B3A">
        <w:rPr>
          <w:rFonts w:hint="eastAsia"/>
        </w:rPr>
        <w:t>小小勇者</w:t>
      </w:r>
    </w:p>
    <w:sectPr w:rsidR="006D5B3A" w:rsidRPr="003F6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79B" w:rsidRDefault="0072079B" w:rsidP="001D0729">
      <w:r>
        <w:separator/>
      </w:r>
    </w:p>
  </w:endnote>
  <w:endnote w:type="continuationSeparator" w:id="0">
    <w:p w:rsidR="0072079B" w:rsidRDefault="0072079B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79B" w:rsidRDefault="0072079B" w:rsidP="001D0729">
      <w:r>
        <w:separator/>
      </w:r>
    </w:p>
  </w:footnote>
  <w:footnote w:type="continuationSeparator" w:id="0">
    <w:p w:rsidR="0072079B" w:rsidRDefault="0072079B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043"/>
    <w:rsid w:val="000D42A8"/>
    <w:rsid w:val="000D47F8"/>
    <w:rsid w:val="000D5093"/>
    <w:rsid w:val="000D5476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6AC"/>
    <w:rsid w:val="000E5E01"/>
    <w:rsid w:val="000E5E19"/>
    <w:rsid w:val="000E6A9B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079B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42C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C32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40156"/>
    <w:rsid w:val="00B407A8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1183"/>
    <w:rsid w:val="00FF22C3"/>
    <w:rsid w:val="00FF2C59"/>
    <w:rsid w:val="00FF30B3"/>
    <w:rsid w:val="00FF44CB"/>
    <w:rsid w:val="00FF464A"/>
    <w:rsid w:val="00FF47B9"/>
    <w:rsid w:val="00FF58D1"/>
    <w:rsid w:val="00FF5B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03226-5119-4236-A6BA-5231DB588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111707</TotalTime>
  <Pages>38</Pages>
  <Words>5256</Words>
  <Characters>29960</Characters>
  <Application>Microsoft Office Word</Application>
  <DocSecurity>0</DocSecurity>
  <Lines>249</Lines>
  <Paragraphs>70</Paragraphs>
  <ScaleCrop>false</ScaleCrop>
  <Company>Microsoft</Company>
  <LinksUpToDate>false</LinksUpToDate>
  <CharactersWithSpaces>35146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4467</cp:revision>
  <dcterms:created xsi:type="dcterms:W3CDTF">2018-07-30T06:23:00Z</dcterms:created>
  <dcterms:modified xsi:type="dcterms:W3CDTF">2019-06-11T06:36:00Z</dcterms:modified>
</cp:coreProperties>
</file>