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6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Bioaerosol</w:t>
      </w:r>
      <w:r>
        <w:t xml:space="preserve"> </w:t>
      </w:r>
      <w:r>
        <w:t xml:space="preserve">Infection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Report</w:t>
      </w:r>
    </w:p>
    <w:p>
      <w:pPr>
        <w:pStyle w:val="Subtitle"/>
      </w:pPr>
      <w:r>
        <w:t xml:space="preserve">Automatically</w:t>
      </w:r>
      <w:r>
        <w:t xml:space="preserve"> </w:t>
      </w:r>
      <w:r>
        <w:t xml:space="preserve">generated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airqmra</w:t>
      </w:r>
      <w:r>
        <w:t xml:space="preserve"> </w:t>
      </w:r>
      <w:r>
        <w:t xml:space="preserve">R</w:t>
      </w:r>
      <w:r>
        <w:t xml:space="preserve"> </w:t>
      </w:r>
      <w:r>
        <w:t xml:space="preserve">package</w:t>
      </w:r>
    </w:p>
    <w:p>
      <w:pPr>
        <w:pStyle w:val="Date"/>
      </w:pPr>
      <w:r>
        <w:t xml:space="preserve">2026-05-23</w:t>
      </w:r>
    </w:p>
    <w:bookmarkStart w:id="20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report is prepared in accordance with Chapter 6</w:t>
      </w:r>
      <w:r>
        <w:t xml:space="preserve"> </w:t>
      </w:r>
      <w:r>
        <w:t xml:space="preserve">“</w:t>
      </w:r>
      <w:r>
        <w:t xml:space="preserve">Infection Risk Assessment of Bioaerosols in the Atmospheric Environment</w:t>
      </w:r>
      <w:r>
        <w:t xml:space="preserve">”</w:t>
      </w:r>
      <w:r>
        <w:t xml:space="preserve"> </w:t>
      </w:r>
      <w:r>
        <w:t xml:space="preserve">of the Technical Guideline for Health Risk Assessment of Bioaerosols in the Atmospheric Environment (T/CSES XXXX-XXXX). It quantitatively evaluates the infection risk posed by specific infectious pathogens under defined exposure scenarios.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pathogen</w:t>
      </w:r>
      <w:r>
        <w:t xml:space="preserve">: legionella pneumophila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Exposed population</w:t>
      </w:r>
      <w:r>
        <w:t xml:space="preserve">: Adult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Microenvironment</w:t>
      </w:r>
      <w:r>
        <w:t xml:space="preserve">: Outdoor,</w:t>
      </w:r>
      <w:r>
        <w:t xml:space="preserve"> </w:t>
      </w:r>
      <w:r>
        <w:rPr>
          <w:b/>
          <w:bCs/>
        </w:rPr>
        <w:t xml:space="preserve">Season</w:t>
      </w:r>
      <w:r>
        <w:t xml:space="preserve">: Annual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Simulation method</w:t>
      </w:r>
      <w:r>
        <w:t xml:space="preserve">:</w:t>
      </w:r>
      <w:r>
        <w:t xml:space="preserve"> </w:t>
      </w:r>
      <w:r>
        <w:t xml:space="preserve">One‑dimensional Monte Carlo (variability only)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Assessment tool</w:t>
      </w:r>
      <w:r>
        <w:t xml:space="preserve">:</w:t>
      </w:r>
      <w:r>
        <w:t xml:space="preserve"> </w:t>
      </w:r>
      <w:r>
        <w:rPr>
          <w:rStyle w:val="VerbatimChar"/>
        </w:rPr>
        <w:t xml:space="preserve">airqmra</w:t>
      </w:r>
      <w:r>
        <w:t xml:space="preserve"> </w:t>
      </w:r>
      <w:r>
        <w:t xml:space="preserve">R package (version 0.0.0.9000)</w:t>
      </w:r>
    </w:p>
    <w:bookmarkEnd w:id="20"/>
    <w:bookmarkStart w:id="21" w:name="data-sources"/>
    <w:p>
      <w:pPr>
        <w:pStyle w:val="Heading1"/>
      </w:pPr>
      <w:r>
        <w:t xml:space="preserve">2. Data Sources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Exposure concentration</w:t>
      </w:r>
      <w:r>
        <w:t xml:space="preserve">: Obtained from field sampling and laboratory analysis.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Dose‑response parameters</w:t>
      </w:r>
      <w:r>
        <w:t xml:space="preserve">: Sourced from the built‑in pathogen database (</w:t>
      </w:r>
      <w:r>
        <w:rPr>
          <w:rStyle w:val="VerbatimChar"/>
        </w:rPr>
        <w:t xml:space="preserve">pathogen_db</w:t>
      </w:r>
      <w:r>
        <w:t xml:space="preserve">) of</w:t>
      </w:r>
      <w:r>
        <w:t xml:space="preserve"> </w:t>
      </w:r>
      <w:r>
        <w:rPr>
          <w:rStyle w:val="VerbatimChar"/>
        </w:rPr>
        <w:t xml:space="preserve">airqmra</w:t>
      </w:r>
      <w:r>
        <w:t xml:space="preserve">, with original references provided in Appendix 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Exposure factors</w:t>
      </w:r>
      <w:r>
        <w:t xml:space="preserve">: Primarily derived from the</w:t>
      </w:r>
      <w:r>
        <w:t xml:space="preserve"> </w:t>
      </w:r>
      <w:r>
        <w:rPr>
          <w:i/>
          <w:iCs/>
        </w:rPr>
        <w:t xml:space="preserve">Chinese Exposure Factors Handbook</w:t>
      </w:r>
      <w:r>
        <w:t xml:space="preserve">.</w:t>
      </w:r>
    </w:p>
    <w:bookmarkEnd w:id="21"/>
    <w:bookmarkStart w:id="26" w:name="assessment-methods"/>
    <w:p>
      <w:pPr>
        <w:pStyle w:val="Heading1"/>
      </w:pPr>
      <w:r>
        <w:t xml:space="preserve">3. Assessment Methods</w:t>
      </w:r>
    </w:p>
    <w:bookmarkStart w:id="22" w:name="hazard-identification"/>
    <w:p>
      <w:pPr>
        <w:pStyle w:val="Heading2"/>
      </w:pPr>
      <w:r>
        <w:t xml:space="preserve">3.1 Hazard Identification</w:t>
      </w:r>
    </w:p>
    <w:p>
      <w:pPr>
        <w:pStyle w:val="FirstParagraph"/>
      </w:pPr>
      <w:r>
        <w:t xml:space="preserve">legionella pneumophila has been identified as a typical infectious pathogen. The primary route of exposure is inhalation, which can lead to infection in exposed populations.</w:t>
      </w:r>
    </w:p>
    <w:bookmarkEnd w:id="22"/>
    <w:bookmarkStart w:id="23" w:name="doseresponse-assessment"/>
    <w:p>
      <w:pPr>
        <w:pStyle w:val="Heading2"/>
      </w:pPr>
      <w:r>
        <w:t xml:space="preserve">3.2 Dose‑Response Assessment</w:t>
      </w:r>
    </w:p>
    <w:p>
      <w:pPr>
        <w:pStyle w:val="FirstParagraph"/>
      </w:pPr>
      <w:r>
        <w:t xml:space="preserve">The dose‑response relationship is quantified using the</w:t>
      </w:r>
      <w:r>
        <w:t xml:space="preserve"> </w:t>
      </w:r>
      <w:r>
        <w:rPr>
          <w:b/>
          <w:bCs/>
        </w:rPr>
        <w:t xml:space="preserve">exponential</w:t>
      </w:r>
      <w:r>
        <w:t xml:space="preserve"> </w:t>
      </w:r>
      <w:r>
        <w:t xml:space="preserve">model.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d</m:t>
              </m:r>
            </m:e>
          </m:d>
        </m:oMath>
      </m:oMathPara>
    </w:p>
    <w:p>
      <w:pPr>
        <w:pStyle w:val="FirstParagraph"/>
      </w:pPr>
      <w:r>
        <w:t xml:space="preserve">Parameter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= 4.99e-05</w:t>
      </w:r>
    </w:p>
    <w:bookmarkEnd w:id="23"/>
    <w:bookmarkStart w:id="24" w:name="exposure-assessment"/>
    <w:p>
      <w:pPr>
        <w:pStyle w:val="Heading2"/>
      </w:pPr>
      <w:r>
        <w:t xml:space="preserve">3.3 Exposure Assessment</w:t>
      </w:r>
    </w:p>
    <w:p>
      <w:pPr>
        <w:pStyle w:val="FirstParagraph"/>
      </w:pPr>
      <w:r>
        <w:t xml:space="preserve">The inhaled dose is calculated as: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t>I</m:t>
          </m:r>
          <m:r>
            <m:t>R</m:t>
          </m:r>
          <m:r>
            <m:rPr>
              <m:sty m:val="p"/>
            </m:rPr>
            <m:t>×</m:t>
          </m:r>
          <m:r>
            <m:t>T</m:t>
          </m:r>
          <m:r>
            <m:rPr>
              <m:sty m:val="p"/>
            </m:rPr>
            <m:t>×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survival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deposition</m:t>
              </m:r>
            </m:sub>
          </m:sSub>
        </m:oMath>
      </m:oMathPara>
    </w:p>
    <w:p>
      <w:pPr>
        <w:pStyle w:val="SourceCode"/>
      </w:pPr>
      <w:r>
        <w:rPr>
          <w:rStyle w:val="VerbatimChar"/>
        </w:rPr>
        <w:t xml:space="preserve">## **Inhalation rate (IR)**: Automatically loaded for the `r scen$exposure_group` group (long‑term breathing rate, m³/h), using a log‑normal distribution.</w:t>
      </w:r>
    </w:p>
    <w:p>
      <w:pPr>
        <w:pStyle w:val="SourceCode"/>
      </w:pPr>
      <w:r>
        <w:rPr>
          <w:rStyle w:val="VerbatimChar"/>
        </w:rPr>
        <w:t xml:space="preserve">## **Exposure time (T)**: Obtained from the time‑activity database based on microenvironment and season.</w:t>
      </w:r>
    </w:p>
    <w:p>
      <w:pPr>
        <w:pStyle w:val="SourceCode"/>
      </w:pPr>
      <w:r>
        <w:rPr>
          <w:rStyle w:val="VerbatimChar"/>
        </w:rPr>
        <w:t xml:space="preserve">## **Survival fraction (f_survival)**: Empirical log‑normal distribution (μ = -1.322, σ = 0.427).</w:t>
      </w:r>
    </w:p>
    <w:p>
      <w:pPr>
        <w:pStyle w:val="SourceCode"/>
      </w:pPr>
      <w:r>
        <w:rPr>
          <w:rStyle w:val="VerbatimChar"/>
        </w:rPr>
        <w:t xml:space="preserve">## **Deposition fraction (f_deposition)**: Pulmonary deposition for `r dep_pop` population, log‑normally distributed.</w:t>
      </w:r>
    </w:p>
    <w:bookmarkEnd w:id="24"/>
    <w:bookmarkStart w:id="25" w:name="risk-characterization"/>
    <w:p>
      <w:pPr>
        <w:pStyle w:val="Heading2"/>
      </w:pPr>
      <w:r>
        <w:t xml:space="preserve">3.4 Risk Characterization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Single‑exposure infection risk</w:t>
      </w:r>
      <w:r>
        <w:t xml:space="preserve">: Directly computed from the dose‑response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Annual infection risk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annual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is the number of exposure events per year.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Uncertainty analysis</w:t>
      </w:r>
      <w:r>
        <w:t xml:space="preserve">: Monte Carlo simulation combined with multiple sensitivity analysis methods.</w:t>
      </w:r>
    </w:p>
    <w:bookmarkEnd w:id="25"/>
    <w:bookmarkEnd w:id="26"/>
    <w:bookmarkStart w:id="35" w:name="results"/>
    <w:p>
      <w:pPr>
        <w:pStyle w:val="Heading1"/>
      </w:pPr>
      <w:r>
        <w:t xml:space="preserve">4. Results</w:t>
      </w:r>
    </w:p>
    <w:bookmarkStart w:id="30" w:name="singleexposure-infection-risk"/>
    <w:p>
      <w:pPr>
        <w:pStyle w:val="Heading2"/>
      </w:pPr>
      <w:r>
        <w:t xml:space="preserve">4.1 Single‑Exposure Infection Risk</w:t>
      </w:r>
    </w:p>
    <w:p>
      <w:pPr>
        <w:pStyle w:val="SourceCode"/>
      </w:pPr>
      <w:r>
        <w:rPr>
          <w:rStyle w:val="VerbatimChar"/>
        </w:rPr>
        <w:t xml:space="preserve">## **Summary statistics**</w:t>
      </w:r>
      <w:r>
        <w:br/>
      </w:r>
      <w:r>
        <w:rPr>
          <w:rStyle w:val="VerbatimChar"/>
        </w:rPr>
        <w:t xml:space="preserve">##      Min.   1st Qu.    Median      Mean   3rd Qu. </w:t>
      </w:r>
      <w:r>
        <w:br/>
      </w:r>
      <w:r>
        <w:rPr>
          <w:rStyle w:val="VerbatimChar"/>
        </w:rPr>
        <w:t xml:space="preserve">## 6.173e-06 1.154e-04 2.304e-04 3.860e-04 4.538e-04 </w:t>
      </w:r>
      <w:r>
        <w:br/>
      </w:r>
      <w:r>
        <w:rPr>
          <w:rStyle w:val="VerbatimChar"/>
        </w:rPr>
        <w:t xml:space="preserve">##      Max. </w:t>
      </w:r>
      <w:r>
        <w:br/>
      </w:r>
      <w:r>
        <w:rPr>
          <w:rStyle w:val="VerbatimChar"/>
        </w:rPr>
        <w:t xml:space="preserve">## 1.300e-02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irqmra_report_files/airqmra_report_files/figure-docx/single-risk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annual-infection-risk"/>
    <w:p>
      <w:pPr>
        <w:pStyle w:val="Heading2"/>
      </w:pPr>
      <w:r>
        <w:t xml:space="preserve">4.2 Annual Infection Risk</w:t>
      </w:r>
    </w:p>
    <w:p>
      <w:pPr>
        <w:pStyle w:val="SourceCode"/>
      </w:pPr>
      <w:r>
        <w:rPr>
          <w:rStyle w:val="VerbatimChar"/>
        </w:rPr>
        <w:t xml:space="preserve">## **Summary statistics**</w:t>
      </w:r>
      <w:r>
        <w:br/>
      </w:r>
      <w:r>
        <w:rPr>
          <w:rStyle w:val="VerbatimChar"/>
        </w:rPr>
        <w:t xml:space="preserve">##      Min.   1st Qu.    Median      Mean   3rd Qu. </w:t>
      </w:r>
      <w:r>
        <w:br/>
      </w:r>
      <w:r>
        <w:rPr>
          <w:rStyle w:val="VerbatimChar"/>
        </w:rPr>
        <w:t xml:space="preserve">## 0.0001235 0.0023047 0.0045975 0.0076412 0.0090366 </w:t>
      </w:r>
      <w:r>
        <w:br/>
      </w:r>
      <w:r>
        <w:rPr>
          <w:rStyle w:val="VerbatimChar"/>
        </w:rPr>
        <w:t xml:space="preserve">##      Max. </w:t>
      </w:r>
      <w:r>
        <w:br/>
      </w:r>
      <w:r>
        <w:rPr>
          <w:rStyle w:val="VerbatimChar"/>
        </w:rPr>
        <w:t xml:space="preserve">## 0.2302102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airqmra_report_files/airqmra_report_files/figure-docx/annual-risk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bookmarkStart w:id="43" w:name="sensitivity-analysis"/>
    <w:p>
      <w:pPr>
        <w:pStyle w:val="Heading1"/>
      </w:pPr>
      <w:r>
        <w:t xml:space="preserve">5. Sensitivity Analysis</w:t>
      </w:r>
    </w:p>
    <w:bookmarkStart w:id="39" w:name="spearman-rank-correlation"/>
    <w:p>
      <w:pPr>
        <w:pStyle w:val="Heading2"/>
      </w:pPr>
      <w:r>
        <w:t xml:space="preserve">5.1 Spearman Rank Correlation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irqmra_report_files/airqmra_report_files/figure-docx/sens-spearman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Xd685335261d4bcdc47d69293c9e171ea7da6640"/>
    <w:p>
      <w:pPr>
        <w:pStyle w:val="Heading2"/>
      </w:pPr>
      <w:r>
        <w:t xml:space="preserve">5.2 PRCC (Partial Rank Correlation Coefficient)</w:t>
      </w:r>
    </w:p>
    <w:p>
      <w:pPr>
        <w:pStyle w:val="SourceCode"/>
      </w:pPr>
      <w:r>
        <w:rPr>
          <w:rStyle w:val="VerbatimChar"/>
        </w:rPr>
        <w:t xml:space="preserve">## PRCC analysis not provided.</w:t>
      </w:r>
    </w:p>
    <w:bookmarkEnd w:id="40"/>
    <w:bookmarkStart w:id="41" w:name="morris-elementary-effects"/>
    <w:p>
      <w:pPr>
        <w:pStyle w:val="Heading2"/>
      </w:pPr>
      <w:r>
        <w:t xml:space="preserve">5.3 Morris Elementary Effects</w:t>
      </w:r>
    </w:p>
    <w:p>
      <w:pPr>
        <w:pStyle w:val="SourceCode"/>
      </w:pPr>
      <w:r>
        <w:rPr>
          <w:rStyle w:val="VerbatimChar"/>
        </w:rPr>
        <w:t xml:space="preserve">## Morris analysis not provided.</w:t>
      </w:r>
    </w:p>
    <w:bookmarkEnd w:id="41"/>
    <w:bookmarkStart w:id="42" w:name="sobol-variance-decomposition"/>
    <w:p>
      <w:pPr>
        <w:pStyle w:val="Heading2"/>
      </w:pPr>
      <w:r>
        <w:t xml:space="preserve">5.4 Sobol’ Variance Decomposition</w:t>
      </w:r>
    </w:p>
    <w:p>
      <w:pPr>
        <w:pStyle w:val="SourceCode"/>
      </w:pPr>
      <w:r>
        <w:rPr>
          <w:rStyle w:val="VerbatimChar"/>
        </w:rPr>
        <w:t xml:space="preserve">## Sobol' analysis not provided.</w:t>
      </w:r>
    </w:p>
    <w:bookmarkEnd w:id="42"/>
    <w:bookmarkEnd w:id="43"/>
    <w:bookmarkStart w:id="45" w:name="uncertainty-analysis"/>
    <w:p>
      <w:pPr>
        <w:pStyle w:val="Heading1"/>
      </w:pPr>
      <w:r>
        <w:t xml:space="preserve">6. Uncertainty Analysis</w:t>
      </w:r>
    </w:p>
    <w:bookmarkStart w:id="44" w:name="propagation-of-parameter-uncertainty"/>
    <w:p>
      <w:pPr>
        <w:pStyle w:val="Heading2"/>
      </w:pPr>
      <w:r>
        <w:t xml:space="preserve">6.1 Propagation of Parameter Uncertainty</w:t>
      </w:r>
    </w:p>
    <w:p>
      <w:pPr>
        <w:pStyle w:val="SourceCode"/>
      </w:pPr>
      <w:r>
        <w:rPr>
          <w:rStyle w:val="VerbatimChar"/>
        </w:rPr>
        <w:t xml:space="preserve">## 2D simulation results not provided.</w:t>
      </w:r>
    </w:p>
    <w:bookmarkEnd w:id="44"/>
    <w:bookmarkEnd w:id="45"/>
    <w:bookmarkStart w:id="46" w:name="conclusions-and-recommendations"/>
    <w:p>
      <w:pPr>
        <w:pStyle w:val="Heading1"/>
      </w:pPr>
      <w:r>
        <w:t xml:space="preserve">7. Conclusions and Recommendations</w:t>
      </w:r>
    </w:p>
    <w:p>
      <w:pPr>
        <w:pStyle w:val="FirstParagraph"/>
      </w:pPr>
      <w:r>
        <w:t xml:space="preserve">For the scenario where Adult individuals are exposed to legionella pneumophila in a Outdoor environment:</w:t>
      </w:r>
      <w:r>
        <w:t xml:space="preserve"> </w:t>
      </w:r>
      <w:r>
        <w:t xml:space="preserve">- The median single‑exposure infection risk is approximately 2.3</w:t>
      </w:r>
      <w:r>
        <w:t xml:space="preserve">^{-4}.</w:t>
      </w:r>
      <w:r>
        <w:t xml:space="preserve"> </w:t>
      </w:r>
      <w:r>
        <w:t xml:space="preserve">- The median annual infection risk is approximately 0.0046.</w:t>
      </w:r>
      <w:r>
        <w:t xml:space="preserve"> </w:t>
      </w:r>
      <w:r>
        <w:t xml:space="preserve">The annual risk median exceeds the commonly acceptable benchmark (≤10⁻⁴), indicating a potential health concern. Control measures are recommended.</w:t>
      </w:r>
    </w:p>
    <w:bookmarkEnd w:id="46"/>
    <w:bookmarkStart w:id="47" w:name="appendices"/>
    <w:p>
      <w:pPr>
        <w:pStyle w:val="Heading1"/>
      </w:pPr>
      <w:r>
        <w:t xml:space="preserve">8. Appendices</w:t>
      </w:r>
    </w:p>
    <w:p>
      <w:pPr>
        <w:pStyle w:val="Compact"/>
        <w:numPr>
          <w:ilvl w:val="0"/>
          <w:numId w:val="1004"/>
        </w:numPr>
      </w:pPr>
      <w:r>
        <w:t xml:space="preserve">Appendix 1: Summary of main exposure and dose‑response parameters.</w:t>
      </w:r>
    </w:p>
    <w:p>
      <w:pPr>
        <w:pStyle w:val="Compact"/>
        <w:numPr>
          <w:ilvl w:val="0"/>
          <w:numId w:val="1004"/>
        </w:numPr>
      </w:pPr>
      <w:r>
        <w:t xml:space="preserve">Appendix 2: Detailed sensitivity analysis charts.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Bioaerosol Infection Risk Assessment Report</dc:title>
  <dc:creator/>
  <cp:keywords/>
  <dcterms:created xsi:type="dcterms:W3CDTF">2026-05-23T11:12:43Z</dcterms:created>
  <dcterms:modified xsi:type="dcterms:W3CDTF">2026-05-23T11:12:43Z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2026-05-23</vt:lpwstr>
  </property>
  <property fmtid="{D5CDD505-2E9C-101B-9397-08002B2CF9AE}" pid="3" name="output">
    <vt:lpwstr/>
  </property>
  <property fmtid="{D5CDD505-2E9C-101B-9397-08002B2CF9AE}" pid="4" name="params">
    <vt:lpwstr/>
  </property>
  <property fmtid="{D5CDD505-2E9C-101B-9397-08002B2CF9AE}" pid="5" name="subtitle">
    <vt:lpwstr>Automatically generated by the airqmra R package</vt:lpwstr>
  </property>
</Properties>
</file>