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jc w:val="center"/>
      </w:pPr>
      <w:r>
        <w:t>七维惯导标定原理及核心操作流程概要分析（修订版1.0）</w:t>
      </w:r>
    </w:p>
    <w:p>
      <w:pPr>
        <w:jc w:val="center"/>
      </w:pPr>
      <w:r>
        <w:t>编制：孙黄玉</w:t>
      </w:r>
    </w:p>
    <w:p>
      <w:pPr>
        <w:jc w:val="center"/>
      </w:pPr>
      <w:r>
        <w:t>其他相关协助工作成员：陈瑶、王志威、</w:t>
      </w:r>
      <w:r>
        <w:rPr>
          <w:rFonts w:hint="eastAsia"/>
        </w:rPr>
        <w:t>任琦</w:t>
      </w:r>
      <w:r>
        <w:t>、高强</w:t>
      </w:r>
    </w:p>
    <w:p>
      <w:pPr>
        <w:jc w:val="center"/>
      </w:pPr>
    </w:p>
    <w:sdt>
      <w:sdtPr>
        <w:rPr>
          <w:rFonts w:ascii="宋体" w:hAnsi="宋体" w:eastAsia="宋体"/>
          <w:sz w:val="21"/>
        </w:rPr>
        <w:id w:val="992920904"/>
        <w:docPartObj>
          <w:docPartGallery w:val="Table of Contents"/>
          <w:docPartUnique/>
        </w:docPartObj>
      </w:sdtPr>
      <w:sdtEndPr>
        <w:rPr>
          <w:rFonts w:asciiTheme="minorHAnsi" w:hAnsiTheme="minorHAnsi" w:eastAsiaTheme="minorEastAsia" w:cstheme="minorBidi"/>
          <w:sz w:val="20"/>
          <w:szCs w:val="20"/>
        </w:rPr>
      </w:sdtEndPr>
      <w:sdtContent>
        <w:p>
          <w:pPr>
            <w:jc w:val="center"/>
          </w:pPr>
          <w:r>
            <w:rPr>
              <w:rFonts w:ascii="宋体" w:hAnsi="宋体" w:eastAsia="宋体"/>
              <w:sz w:val="21"/>
            </w:rPr>
            <w:t>目录</w:t>
          </w:r>
        </w:p>
        <w:p>
          <w:pPr>
            <w:pStyle w:val="7"/>
            <w:tabs>
              <w:tab w:val="right" w:leader="dot" w:pos="8306"/>
            </w:tabs>
          </w:pPr>
          <w:r>
            <w:fldChar w:fldCharType="begin"/>
          </w:r>
          <w:r>
            <w:instrText xml:space="preserve"> HYPERLINK \l _Toc145586478 </w:instrText>
          </w:r>
          <w:r>
            <w:fldChar w:fldCharType="separate"/>
          </w:r>
          <w:sdt>
            <w:sdtPr>
              <w:rPr>
                <w:rFonts w:asciiTheme="minorHAnsi" w:hAnsiTheme="minorHAnsi" w:eastAsiaTheme="minorEastAsia" w:cstheme="minorBidi"/>
                <w:kern w:val="2"/>
                <w:sz w:val="21"/>
                <w:szCs w:val="24"/>
                <w:lang w:val="en-US" w:eastAsia="zh-CN" w:bidi="ar-SA"/>
              </w:rPr>
              <w:id w:val="992920904"/>
              <w:placeholder>
                <w:docPart w:val="{3ba23cbf-19d5-431d-948a-ac61c030ce1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一、 </w:t>
              </w:r>
              <w:r>
                <w:rPr>
                  <w:rFonts w:asciiTheme="minorHAnsi" w:hAnsiTheme="minorHAnsi" w:eastAsiaTheme="minorEastAsia" w:cstheme="minorBidi"/>
                </w:rPr>
                <w:t>安装原则</w:t>
              </w:r>
            </w:sdtContent>
          </w:sdt>
          <w:r>
            <w:tab/>
          </w:r>
          <w:r>
            <w:t>2</w:t>
          </w:r>
          <w:r>
            <w:fldChar w:fldCharType="end"/>
          </w:r>
        </w:p>
        <w:p>
          <w:pPr>
            <w:pStyle w:val="7"/>
            <w:tabs>
              <w:tab w:val="right" w:leader="dot" w:pos="8306"/>
            </w:tabs>
          </w:pPr>
          <w:r>
            <w:fldChar w:fldCharType="begin"/>
          </w:r>
          <w:r>
            <w:instrText xml:space="preserve"> HYPERLINK \l _Toc1556740884 </w:instrText>
          </w:r>
          <w:r>
            <w:fldChar w:fldCharType="separate"/>
          </w:r>
          <w:sdt>
            <w:sdtPr>
              <w:rPr>
                <w:rFonts w:asciiTheme="minorHAnsi" w:hAnsiTheme="minorHAnsi" w:eastAsiaTheme="minorEastAsia" w:cstheme="minorBidi"/>
                <w:kern w:val="2"/>
                <w:sz w:val="21"/>
                <w:szCs w:val="24"/>
                <w:lang w:val="en-US" w:eastAsia="zh-CN" w:bidi="ar-SA"/>
              </w:rPr>
              <w:id w:val="992920904"/>
              <w:placeholder>
                <w:docPart w:val="{387655fc-0cec-4ac6-88c1-e32ee261583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二、 </w:t>
              </w:r>
              <w:r>
                <w:rPr>
                  <w:rFonts w:asciiTheme="minorHAnsi" w:hAnsiTheme="minorHAnsi" w:eastAsiaTheme="minorEastAsia" w:cstheme="minorBidi"/>
                </w:rPr>
                <w:t>标定原理及过程概要</w:t>
              </w:r>
            </w:sdtContent>
          </w:sdt>
          <w:r>
            <w:tab/>
          </w:r>
          <w:r>
            <w:t>5</w:t>
          </w:r>
          <w:r>
            <w:fldChar w:fldCharType="end"/>
          </w:r>
        </w:p>
        <w:p>
          <w:pPr>
            <w:pStyle w:val="8"/>
            <w:tabs>
              <w:tab w:val="right" w:leader="dot" w:pos="8306"/>
            </w:tabs>
          </w:pPr>
          <w:r>
            <w:fldChar w:fldCharType="begin"/>
          </w:r>
          <w:r>
            <w:instrText xml:space="preserve"> HYPERLINK \l _Toc945922302 </w:instrText>
          </w:r>
          <w:r>
            <w:fldChar w:fldCharType="separate"/>
          </w:r>
          <w:sdt>
            <w:sdtPr>
              <w:rPr>
                <w:rFonts w:asciiTheme="minorHAnsi" w:hAnsiTheme="minorHAnsi" w:eastAsiaTheme="minorEastAsia" w:cstheme="minorBidi"/>
                <w:kern w:val="2"/>
                <w:sz w:val="21"/>
                <w:szCs w:val="24"/>
                <w:lang w:val="en-US" w:eastAsia="zh-CN" w:bidi="ar-SA"/>
              </w:rPr>
              <w:id w:val="992920904"/>
              <w:placeholder>
                <w:docPart w:val="{b41f50a7-806f-4ee4-8f84-d46826139df6}"/>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第一轮标定过程</w:t>
              </w:r>
            </w:sdtContent>
          </w:sdt>
          <w:r>
            <w:tab/>
          </w:r>
          <w:r>
            <w:t>5</w:t>
          </w:r>
          <w:r>
            <w:fldChar w:fldCharType="end"/>
          </w:r>
        </w:p>
        <w:p>
          <w:pPr>
            <w:pStyle w:val="8"/>
            <w:tabs>
              <w:tab w:val="right" w:leader="dot" w:pos="8306"/>
            </w:tabs>
          </w:pPr>
          <w:r>
            <w:fldChar w:fldCharType="begin"/>
          </w:r>
          <w:r>
            <w:instrText xml:space="preserve"> HYPERLINK \l _Toc353923700 </w:instrText>
          </w:r>
          <w:r>
            <w:fldChar w:fldCharType="separate"/>
          </w:r>
          <w:sdt>
            <w:sdtPr>
              <w:rPr>
                <w:rFonts w:asciiTheme="minorHAnsi" w:hAnsiTheme="minorHAnsi" w:eastAsiaTheme="minorEastAsia" w:cstheme="minorBidi"/>
                <w:kern w:val="2"/>
                <w:sz w:val="21"/>
                <w:szCs w:val="24"/>
                <w:lang w:val="en-US" w:eastAsia="zh-CN" w:bidi="ar-SA"/>
              </w:rPr>
              <w:id w:val="992920904"/>
              <w:placeholder>
                <w:docPart w:val="{c652e922-e7bb-478f-96de-5cf602550977}"/>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第二轮标定过程</w:t>
              </w:r>
            </w:sdtContent>
          </w:sdt>
          <w:r>
            <w:tab/>
          </w:r>
          <w:r>
            <w:t>6</w:t>
          </w:r>
          <w:r>
            <w:fldChar w:fldCharType="end"/>
          </w:r>
        </w:p>
        <w:p>
          <w:pPr>
            <w:pStyle w:val="8"/>
            <w:tabs>
              <w:tab w:val="right" w:leader="dot" w:pos="8306"/>
            </w:tabs>
          </w:pPr>
          <w:r>
            <w:fldChar w:fldCharType="begin"/>
          </w:r>
          <w:r>
            <w:instrText xml:space="preserve"> HYPERLINK \l _Toc903396748 </w:instrText>
          </w:r>
          <w:r>
            <w:fldChar w:fldCharType="separate"/>
          </w:r>
          <w:sdt>
            <w:sdtPr>
              <w:rPr>
                <w:rFonts w:asciiTheme="minorHAnsi" w:hAnsiTheme="minorHAnsi" w:eastAsiaTheme="minorEastAsia" w:cstheme="minorBidi"/>
                <w:kern w:val="2"/>
                <w:sz w:val="21"/>
                <w:szCs w:val="24"/>
                <w:lang w:val="en-US" w:eastAsia="zh-CN" w:bidi="ar-SA"/>
              </w:rPr>
              <w:id w:val="992920904"/>
              <w:placeholder>
                <w:docPart w:val="{99dae3ab-0417-49ee-be56-ef44509de229}"/>
              </w:placeholder>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第三轮标定过程</w:t>
              </w:r>
            </w:sdtContent>
          </w:sdt>
          <w:r>
            <w:tab/>
          </w:r>
          <w:r>
            <w:t>7</w:t>
          </w:r>
          <w:r>
            <w:fldChar w:fldCharType="end"/>
          </w:r>
        </w:p>
        <w:p>
          <w:pPr>
            <w:pStyle w:val="7"/>
            <w:tabs>
              <w:tab w:val="right" w:leader="dot" w:pos="8306"/>
            </w:tabs>
          </w:pPr>
          <w:r>
            <w:fldChar w:fldCharType="begin"/>
          </w:r>
          <w:r>
            <w:instrText xml:space="preserve"> HYPERLINK \l _Toc161471458 </w:instrText>
          </w:r>
          <w:r>
            <w:fldChar w:fldCharType="separate"/>
          </w:r>
          <w:sdt>
            <w:sdtPr>
              <w:rPr>
                <w:rFonts w:asciiTheme="minorHAnsi" w:hAnsiTheme="minorHAnsi" w:eastAsiaTheme="minorEastAsia" w:cstheme="minorBidi"/>
                <w:kern w:val="2"/>
                <w:sz w:val="21"/>
                <w:szCs w:val="24"/>
                <w:lang w:val="en-US" w:eastAsia="zh-CN" w:bidi="ar-SA"/>
              </w:rPr>
              <w:id w:val="992920904"/>
              <w:placeholder>
                <w:docPart w:val="{93979432-383e-4a6f-9f83-04f56a58e99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三、 </w:t>
              </w:r>
              <w:r>
                <w:rPr>
                  <w:rFonts w:asciiTheme="minorHAnsi" w:hAnsiTheme="minorHAnsi" w:eastAsiaTheme="minorEastAsia" w:cstheme="minorBidi"/>
                </w:rPr>
                <w:t>本文档说明</w:t>
              </w:r>
            </w:sdtContent>
          </w:sdt>
          <w:r>
            <w:tab/>
          </w:r>
          <w:r>
            <w:t>8</w:t>
          </w:r>
          <w:r>
            <w:fldChar w:fldCharType="end"/>
          </w:r>
        </w:p>
        <w:p>
          <w:pPr>
            <w:pStyle w:val="7"/>
            <w:tabs>
              <w:tab w:val="right" w:leader="dot" w:pos="8306"/>
            </w:tabs>
          </w:pPr>
          <w:r>
            <w:fldChar w:fldCharType="begin"/>
          </w:r>
          <w:r>
            <w:instrText xml:space="preserve"> HYPERLINK \l _Toc1746579119 </w:instrText>
          </w:r>
          <w:r>
            <w:fldChar w:fldCharType="separate"/>
          </w:r>
          <w:sdt>
            <w:sdtPr>
              <w:rPr>
                <w:rFonts w:asciiTheme="minorHAnsi" w:hAnsiTheme="minorHAnsi" w:eastAsiaTheme="minorEastAsia" w:cstheme="minorBidi"/>
                <w:kern w:val="2"/>
                <w:sz w:val="21"/>
                <w:szCs w:val="24"/>
                <w:lang w:val="en-US" w:eastAsia="zh-CN" w:bidi="ar-SA"/>
              </w:rPr>
              <w:id w:val="992920904"/>
              <w:placeholder>
                <w:docPart w:val="{841be998-a6ea-4725-9615-60ab3b488f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四、 </w:t>
              </w:r>
              <w:r>
                <w:rPr>
                  <w:rFonts w:asciiTheme="minorHAnsi" w:hAnsiTheme="minorHAnsi" w:eastAsiaTheme="minorEastAsia" w:cstheme="minorBidi"/>
                </w:rPr>
                <w:t>参考资料</w:t>
              </w:r>
            </w:sdtContent>
          </w:sdt>
          <w:r>
            <w:tab/>
          </w:r>
          <w:r>
            <w:t>8</w:t>
          </w:r>
          <w:r>
            <w:fldChar w:fldCharType="end"/>
          </w:r>
        </w:p>
      </w:sdtContent>
    </w:sdt>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sz w:val="21"/>
        </w:rPr>
      </w:pPr>
      <w:r>
        <w:rPr>
          <w:sz w:val="21"/>
        </w:rPr>
        <w:t>车辆中与惯导标定相关的坐标系如下图所示：</w:t>
      </w:r>
    </w:p>
    <w:p>
      <w:pPr>
        <w:rPr>
          <w:sz w:val="21"/>
        </w:rPr>
      </w:pPr>
    </w:p>
    <w:p>
      <w:r>
        <w:t>測向天线坐标系</w:t>
      </w:r>
    </w:p>
    <w:p>
      <w:pPr>
        <w:rPr>
          <w:sz w:val="21"/>
        </w:rPr>
      </w:pPr>
      <w:r>
        <w:drawing>
          <wp:inline distT="0" distB="0" distL="114300" distR="114300">
            <wp:extent cx="5269865" cy="359537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595370"/>
                    </a:xfrm>
                    <a:prstGeom prst="rect">
                      <a:avLst/>
                    </a:prstGeom>
                    <a:noFill/>
                    <a:ln w="9525">
                      <a:noFill/>
                    </a:ln>
                  </pic:spPr>
                </pic:pic>
              </a:graphicData>
            </a:graphic>
          </wp:inline>
        </w:drawing>
      </w:r>
    </w:p>
    <w:p>
      <w:pPr>
        <w:pStyle w:val="4"/>
        <w:numPr>
          <w:ilvl w:val="0"/>
          <w:numId w:val="1"/>
        </w:numPr>
      </w:pPr>
      <w:bookmarkStart w:id="0" w:name="_Toc1707359428"/>
      <w:bookmarkStart w:id="1" w:name="_Toc76515991"/>
      <w:bookmarkStart w:id="2" w:name="_Toc1185217522"/>
      <w:bookmarkStart w:id="3" w:name="_Toc145586478"/>
      <w:r>
        <w:t>安装原则</w:t>
      </w:r>
      <w:bookmarkEnd w:id="0"/>
      <w:bookmarkEnd w:id="1"/>
      <w:bookmarkEnd w:id="2"/>
      <w:bookmarkEnd w:id="3"/>
    </w:p>
    <w:p>
      <w:pPr>
        <w:rPr>
          <w:sz w:val="21"/>
        </w:rPr>
      </w:pPr>
      <w:r>
        <w:rPr>
          <w:sz w:val="21"/>
        </w:rPr>
        <w:t>惯导的双天线分别安装在车顶的左右两侧，安装尽可能对称，两者距离尽可能远。</w:t>
      </w:r>
    </w:p>
    <w:p>
      <w:pPr>
        <w:rPr>
          <w:sz w:val="21"/>
        </w:rPr>
      </w:pPr>
      <w:r>
        <w:rPr>
          <w:sz w:val="21"/>
        </w:rPr>
        <w:t>为了标定过程中建模简单，安装尽量遵循以下原则：</w:t>
      </w:r>
    </w:p>
    <w:p>
      <w:pPr>
        <w:numPr>
          <w:ilvl w:val="0"/>
          <w:numId w:val="2"/>
        </w:numPr>
        <w:rPr>
          <w:sz w:val="21"/>
        </w:rPr>
      </w:pPr>
      <w:r>
        <w:rPr>
          <w:sz w:val="21"/>
        </w:rPr>
        <w:t>主天线一般安装在左侧，副天线安装在右侧。基线向量从主天线蘑菇头中心指向副天线蘑菇头中心。主天线蘑菇头中心作为测向天线坐标系原点，x轴垂直于基线向量且与水平面平行向车头；y轴与基线向量方向一致。z轴遵循右手定则，即指向地。</w:t>
      </w:r>
    </w:p>
    <w:p>
      <w:pPr>
        <w:numPr>
          <w:ilvl w:val="0"/>
          <w:numId w:val="2"/>
        </w:numPr>
        <w:ind w:left="0" w:leftChars="0" w:firstLine="0" w:firstLineChars="0"/>
        <w:rPr>
          <w:sz w:val="21"/>
        </w:rPr>
      </w:pPr>
      <w:r>
        <w:rPr>
          <w:sz w:val="21"/>
        </w:rPr>
        <w:t>Reference坐标系，即我们通常所说的base_link坐标系,其规定主要考虑车辆的控制模型，坐标系原点一般置于车后轮轴中心，x轴平行与车辆的中轴线且指向车头方向；y轴平行后轮轴且指向右侧。z轴遵循右手定则，即指向地。一般情况我们将Reference坐标系作为车身坐标系如下图所示：</w:t>
      </w:r>
    </w:p>
    <w:p>
      <w:pPr>
        <w:numPr>
          <w:ilvl w:val="0"/>
          <w:numId w:val="0"/>
        </w:numPr>
        <w:ind w:leftChars="0"/>
        <w:rPr>
          <w:sz w:val="21"/>
        </w:rPr>
      </w:pPr>
      <w:r>
        <w:drawing>
          <wp:inline distT="0" distB="0" distL="114300" distR="114300">
            <wp:extent cx="3571240" cy="2352675"/>
            <wp:effectExtent l="0" t="0" r="1016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5"/>
                    <a:stretch>
                      <a:fillRect/>
                    </a:stretch>
                  </pic:blipFill>
                  <pic:spPr>
                    <a:xfrm>
                      <a:off x="0" y="0"/>
                      <a:ext cx="3571240" cy="2352675"/>
                    </a:xfrm>
                    <a:prstGeom prst="rect">
                      <a:avLst/>
                    </a:prstGeom>
                    <a:noFill/>
                    <a:ln w="9525">
                      <a:noFill/>
                    </a:ln>
                  </pic:spPr>
                </pic:pic>
              </a:graphicData>
            </a:graphic>
          </wp:inline>
        </w:drawing>
      </w:r>
    </w:p>
    <w:p>
      <w:pPr>
        <w:numPr>
          <w:ilvl w:val="0"/>
          <w:numId w:val="0"/>
        </w:numPr>
        <w:ind w:leftChars="0"/>
        <w:rPr>
          <w:sz w:val="21"/>
        </w:rPr>
      </w:pPr>
      <w:r>
        <w:rPr>
          <w:sz w:val="21"/>
        </w:rPr>
        <w:t>所以需要在如下页面上配置安装角度都填写0。</w:t>
      </w:r>
    </w:p>
    <w:p>
      <w:pPr>
        <w:numPr>
          <w:ilvl w:val="0"/>
          <w:numId w:val="0"/>
        </w:numPr>
        <w:ind w:leftChars="0"/>
        <w:rPr>
          <w:sz w:val="21"/>
        </w:rPr>
      </w:pPr>
      <w:r>
        <w:drawing>
          <wp:inline distT="0" distB="0" distL="114300" distR="114300">
            <wp:extent cx="5269230" cy="2136140"/>
            <wp:effectExtent l="0" t="0" r="7620" b="1651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6"/>
                    <a:stretch>
                      <a:fillRect/>
                    </a:stretch>
                  </pic:blipFill>
                  <pic:spPr>
                    <a:xfrm>
                      <a:off x="0" y="0"/>
                      <a:ext cx="5269230" cy="2136140"/>
                    </a:xfrm>
                    <a:prstGeom prst="rect">
                      <a:avLst/>
                    </a:prstGeom>
                    <a:noFill/>
                    <a:ln w="9525">
                      <a:noFill/>
                    </a:ln>
                  </pic:spPr>
                </pic:pic>
              </a:graphicData>
            </a:graphic>
          </wp:inline>
        </w:drawing>
      </w:r>
    </w:p>
    <w:p>
      <w:r>
        <w:rPr>
          <w:sz w:val="21"/>
        </w:rPr>
        <w:t>3.IMU坐标系，安装尽量与Reference坐标系平行（在有些需要和激光雷达高度耦合的情况下可考虑与激光坐标系保持水平）。</w:t>
      </w:r>
    </w:p>
    <w:p>
      <w:pPr>
        <w:rPr>
          <w:sz w:val="21"/>
        </w:rPr>
      </w:pPr>
      <w:r>
        <w:rPr>
          <w:sz w:val="21"/>
        </w:rPr>
        <w:t>在标定之前至少需要测量如下几个关键量：</w:t>
      </w:r>
    </w:p>
    <w:p>
      <w:pPr>
        <w:numPr>
          <w:ilvl w:val="0"/>
          <w:numId w:val="3"/>
        </w:numPr>
        <w:rPr>
          <w:sz w:val="21"/>
        </w:rPr>
      </w:pPr>
      <w:r>
        <w:rPr>
          <w:sz w:val="21"/>
        </w:rPr>
        <w:t>测量从主天线到副天线的基线向量长度Y（注：有些术语可能称其为“杆臂”或者“力臂”长度）,X、Z</w:t>
      </w:r>
      <w:r>
        <w:rPr>
          <w:sz w:val="21"/>
        </w:rPr>
        <w:tab/>
      </w:r>
      <w:r>
        <w:rPr>
          <w:sz w:val="21"/>
        </w:rPr>
        <w:t>可以填写0。标准差一般填写为比精度稍大的值（较大的标准差迭代修正快速粗糙，较小的标准差迭代修正缓慢较精细），一般建议填写0.01。</w:t>
      </w:r>
    </w:p>
    <w:p>
      <w:pPr>
        <w:numPr>
          <w:ilvl w:val="0"/>
          <w:numId w:val="0"/>
        </w:numPr>
      </w:pPr>
      <w:r>
        <w:drawing>
          <wp:inline distT="0" distB="0" distL="114300" distR="114300">
            <wp:extent cx="5272405" cy="2172335"/>
            <wp:effectExtent l="0" t="0" r="4445" b="184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7"/>
                    <a:stretch>
                      <a:fillRect/>
                    </a:stretch>
                  </pic:blipFill>
                  <pic:spPr>
                    <a:xfrm>
                      <a:off x="0" y="0"/>
                      <a:ext cx="5272405" cy="2172335"/>
                    </a:xfrm>
                    <a:prstGeom prst="rect">
                      <a:avLst/>
                    </a:prstGeom>
                    <a:noFill/>
                    <a:ln w="9525">
                      <a:noFill/>
                    </a:ln>
                  </pic:spPr>
                </pic:pic>
              </a:graphicData>
            </a:graphic>
          </wp:inline>
        </w:drawing>
      </w:r>
    </w:p>
    <w:p>
      <w:pPr>
        <w:numPr>
          <w:ilvl w:val="0"/>
          <w:numId w:val="3"/>
        </w:numPr>
        <w:ind w:left="0" w:leftChars="0" w:firstLine="0" w:firstLineChars="0"/>
        <w:rPr>
          <w:sz w:val="21"/>
        </w:rPr>
      </w:pPr>
      <w:r>
        <w:rPr>
          <w:sz w:val="21"/>
        </w:rPr>
        <w:t>测向天线坐标系原点在Reference坐标系坐标。标准差填写原理同上，一般建议填写0.1。</w:t>
      </w:r>
    </w:p>
    <w:p>
      <w:pPr>
        <w:numPr>
          <w:ilvl w:val="0"/>
          <w:numId w:val="0"/>
        </w:numPr>
        <w:ind w:leftChars="0"/>
        <w:rPr>
          <w:sz w:val="21"/>
        </w:rPr>
      </w:pPr>
      <w:r>
        <w:drawing>
          <wp:inline distT="0" distB="0" distL="114300" distR="114300">
            <wp:extent cx="5272405" cy="2529205"/>
            <wp:effectExtent l="0" t="0" r="4445" b="44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72405" cy="2529205"/>
                    </a:xfrm>
                    <a:prstGeom prst="rect">
                      <a:avLst/>
                    </a:prstGeom>
                    <a:noFill/>
                    <a:ln w="9525">
                      <a:noFill/>
                    </a:ln>
                  </pic:spPr>
                </pic:pic>
              </a:graphicData>
            </a:graphic>
          </wp:inline>
        </w:drawing>
      </w:r>
    </w:p>
    <w:p>
      <w:pPr>
        <w:rPr>
          <w:sz w:val="21"/>
        </w:rPr>
      </w:pPr>
      <w:r>
        <w:rPr>
          <w:sz w:val="21"/>
        </w:rPr>
        <w:t>（3）Reference到IMU坐标系原点的三个平移量（</w:t>
      </w:r>
      <w:r>
        <w:rPr>
          <w:rFonts w:hint="eastAsia"/>
          <w:sz w:val="21"/>
        </w:rPr>
        <w:t>杆臂</w:t>
      </w:r>
      <w:r>
        <w:rPr>
          <w:sz w:val="21"/>
        </w:rPr>
        <w:t>）X,Y,Z。这里比较关键的是Y，其他两个可以直接填写0。</w:t>
      </w:r>
    </w:p>
    <w:p>
      <w:pPr>
        <w:rPr>
          <w:sz w:val="21"/>
        </w:rPr>
      </w:pPr>
      <w:r>
        <w:drawing>
          <wp:inline distT="0" distB="0" distL="114300" distR="114300">
            <wp:extent cx="5270500" cy="2168525"/>
            <wp:effectExtent l="0" t="0" r="635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270500" cy="2168525"/>
                    </a:xfrm>
                    <a:prstGeom prst="rect">
                      <a:avLst/>
                    </a:prstGeom>
                    <a:noFill/>
                    <a:ln w="9525">
                      <a:noFill/>
                    </a:ln>
                  </pic:spPr>
                </pic:pic>
              </a:graphicData>
            </a:graphic>
          </wp:inline>
        </w:drawing>
      </w:r>
    </w:p>
    <w:p>
      <w:pPr>
        <w:rPr>
          <w:sz w:val="21"/>
        </w:rPr>
      </w:pPr>
      <w:r>
        <w:rPr>
          <w:sz w:val="21"/>
        </w:rPr>
        <w:t>以上测量的数据都是距离量，按照配置页面的需求（可能需要做适当的转换）填入配置页面中，这些数据仅仅是给后续的标定程序提供迭代初值，加快迭代收敛速度。</w:t>
      </w:r>
    </w:p>
    <w:p>
      <w:pPr>
        <w:rPr>
          <w:sz w:val="21"/>
        </w:rPr>
      </w:pPr>
    </w:p>
    <w:p>
      <w:pPr>
        <w:pStyle w:val="4"/>
        <w:numPr>
          <w:ilvl w:val="0"/>
          <w:numId w:val="1"/>
        </w:numPr>
        <w:rPr>
          <w:b/>
        </w:rPr>
      </w:pPr>
      <w:bookmarkStart w:id="4" w:name="_Toc832149433"/>
      <w:bookmarkStart w:id="5" w:name="_Toc1992102294"/>
      <w:bookmarkStart w:id="6" w:name="_Toc1556740884"/>
      <w:bookmarkStart w:id="7" w:name="_Toc1651564318"/>
      <w:r>
        <w:rPr>
          <w:b/>
        </w:rPr>
        <w:t>标定原理及过程概要</w:t>
      </w:r>
      <w:bookmarkEnd w:id="4"/>
      <w:bookmarkEnd w:id="5"/>
      <w:bookmarkEnd w:id="6"/>
      <w:bookmarkEnd w:id="7"/>
    </w:p>
    <w:p>
      <w:pPr>
        <w:rPr>
          <w:sz w:val="21"/>
        </w:rPr>
      </w:pPr>
      <w:r>
        <w:rPr>
          <w:sz w:val="21"/>
        </w:rPr>
        <w:t>标定过程分为三轮，每轮标定过程为车辆以15~25km/h速度行驶</w:t>
      </w:r>
      <w:r>
        <w:rPr>
          <w:rFonts w:hint="eastAsia"/>
          <w:sz w:val="21"/>
        </w:rPr>
        <w:t>10~15</w:t>
      </w:r>
      <w:r>
        <w:rPr>
          <w:sz w:val="21"/>
        </w:rPr>
        <w:t>分钟左右。</w:t>
      </w:r>
    </w:p>
    <w:p>
      <w:pPr>
        <w:rPr>
          <w:sz w:val="21"/>
        </w:rPr>
      </w:pPr>
      <w:r>
        <w:rPr>
          <w:sz w:val="21"/>
        </w:rPr>
        <w:t>第一轮过程目标是计算IMU航向角heading与Reference坐标系的航向角（用单天线惯导航迹track表示）偏差</w:t>
      </w:r>
      <w:r>
        <w:rPr>
          <w:rFonts w:hint="eastAsia"/>
          <w:sz w:val="21"/>
        </w:rPr>
        <w:t>Ref2IMUZ=heading-track</w:t>
      </w:r>
      <w:r>
        <w:rPr>
          <w:sz w:val="21"/>
        </w:rPr>
        <w:t>。</w:t>
      </w:r>
    </w:p>
    <w:p>
      <w:pPr>
        <w:rPr>
          <w:rFonts w:hint="default"/>
          <w:sz w:val="21"/>
        </w:rPr>
      </w:pPr>
      <w:r>
        <w:rPr>
          <w:sz w:val="21"/>
        </w:rPr>
        <w:t>第二轮过程的目标是计算測向天线的heading（双天线定位获取）与Reference的航向角track（用IMU的heading-</w:t>
      </w:r>
      <w:r>
        <w:rPr>
          <w:rFonts w:hint="eastAsia"/>
          <w:sz w:val="21"/>
        </w:rPr>
        <w:t>Ref2IMUZ</w:t>
      </w:r>
      <w:r>
        <w:rPr>
          <w:rFonts w:hint="default"/>
          <w:sz w:val="21"/>
        </w:rPr>
        <w:t>表示</w:t>
      </w:r>
      <w:r>
        <w:rPr>
          <w:sz w:val="21"/>
        </w:rPr>
        <w:t>）偏差再折算成X的偏差。</w:t>
      </w:r>
    </w:p>
    <w:p>
      <w:pPr>
        <w:rPr>
          <w:sz w:val="21"/>
        </w:rPr>
      </w:pPr>
      <w:r>
        <w:rPr>
          <w:sz w:val="21"/>
        </w:rPr>
        <w:t>第三轮过程目标是计算真实车身模型与Reference的三维姿态偏差，即完成用Reference的姿态代表车身的姿态。</w:t>
      </w:r>
    </w:p>
    <w:p>
      <w:pPr>
        <w:rPr>
          <w:sz w:val="21"/>
        </w:rPr>
      </w:pPr>
    </w:p>
    <w:p>
      <w:pPr>
        <w:rPr>
          <w:sz w:val="21"/>
        </w:rPr>
      </w:pPr>
      <w:bookmarkStart w:id="8" w:name="_Toc1102413505"/>
      <w:bookmarkStart w:id="9" w:name="_Toc1823018346"/>
      <w:bookmarkStart w:id="10" w:name="_Toc1812681840"/>
      <w:bookmarkStart w:id="11" w:name="_Toc945922302"/>
      <w:r>
        <w:rPr>
          <w:sz w:val="21"/>
        </w:rPr>
        <w:t>第一轮标定过程</w:t>
      </w:r>
      <w:bookmarkEnd w:id="8"/>
      <w:bookmarkEnd w:id="9"/>
      <w:bookmarkEnd w:id="10"/>
      <w:bookmarkEnd w:id="11"/>
    </w:p>
    <w:p>
      <w:pPr>
        <w:numPr>
          <w:ilvl w:val="0"/>
          <w:numId w:val="4"/>
        </w:numPr>
        <w:rPr>
          <w:sz w:val="21"/>
        </w:rPr>
      </w:pPr>
      <w:r>
        <w:rPr>
          <w:rFonts w:hint="eastAsia"/>
          <w:sz w:val="21"/>
        </w:rPr>
        <w:t>配置好所有的安装关系(Lever arm 和 angle,其中angle初始均设置为0),关闭GAMS,在非常开阔的路段跑车并采集10~15分钟10Hz的GSOF INS FULL NAV 和1Hz的INS RMS数据,提取里面Heading RMS优于0.1且INS状态为FULL,GNSS状态为RTK且车速大于10m/s的所有数据,用Heading减去Track,得到的结果平均后输入REF to imu mounting angles 里的Z那一栏</w:t>
      </w:r>
      <w:r>
        <w:rPr>
          <w:rFonts w:hint="default"/>
          <w:sz w:val="21"/>
        </w:rPr>
        <w:t>：</w:t>
      </w:r>
    </w:p>
    <w:p>
      <w:pPr>
        <w:rPr>
          <w:sz w:val="21"/>
        </w:rPr>
      </w:pPr>
      <w:r>
        <w:drawing>
          <wp:inline distT="0" distB="0" distL="114300" distR="114300">
            <wp:extent cx="5190490" cy="1819275"/>
            <wp:effectExtent l="0" t="0" r="10160" b="952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5190490" cy="1819275"/>
                    </a:xfrm>
                    <a:prstGeom prst="rect">
                      <a:avLst/>
                    </a:prstGeom>
                    <a:noFill/>
                    <a:ln w="9525">
                      <a:noFill/>
                    </a:ln>
                  </pic:spPr>
                </pic:pic>
              </a:graphicData>
            </a:graphic>
          </wp:inline>
        </w:drawing>
      </w:r>
    </w:p>
    <w:p>
      <w:pPr>
        <w:numPr>
          <w:ilvl w:val="0"/>
          <w:numId w:val="0"/>
        </w:numPr>
        <w:rPr>
          <w:sz w:val="21"/>
        </w:rPr>
      </w:pPr>
    </w:p>
    <w:p>
      <w:pPr>
        <w:numPr>
          <w:ilvl w:val="0"/>
          <w:numId w:val="4"/>
        </w:numPr>
        <w:rPr>
          <w:sz w:val="21"/>
        </w:rPr>
      </w:pPr>
      <w:r>
        <w:rPr>
          <w:sz w:val="21"/>
        </w:rPr>
        <w:t>人工开动车辆过程中遇到弯道尽量把速度降到10km，驾驶10分钟左右，/h以内（因为弯道航向角数据稳定性差，不利于标定，在数据后处理计算航向角偏差中可以通过车速把弯道的数据过滤掉，只保留直道上的数据）。</w:t>
      </w:r>
    </w:p>
    <w:p>
      <w:pPr>
        <w:numPr>
          <w:ilvl w:val="0"/>
          <w:numId w:val="4"/>
        </w:numPr>
        <w:ind w:left="0" w:leftChars="0" w:firstLine="0" w:firstLineChars="0"/>
        <w:rPr>
          <w:sz w:val="21"/>
        </w:rPr>
      </w:pPr>
      <w:r>
        <w:rPr>
          <w:sz w:val="21"/>
        </w:rPr>
        <w:t>标定IMU坐标系相对于Reference坐标系姿态角偏差，其中主要关注航向角偏差，即上图中的x:track到x:heading角度，符号满足右手定则，俯仰角及横滚角偏差一般近似为0就可以。这个航向角的偏差的计算一般惯导供应商会提供一个单独程序来计算，只需要按照要求把对于数据文件加载进去计算就可以。也可以自己编写算法程序计算，核心的算法大概就是将航迹增量向量与IMU的heading向量所成角度的序列做最小二乘估计得到。然后将计算出来的角度填入到配置页面的对应位置。</w:t>
      </w:r>
    </w:p>
    <w:p>
      <w:pPr>
        <w:numPr>
          <w:ilvl w:val="0"/>
          <w:numId w:val="0"/>
        </w:numPr>
        <w:ind w:leftChars="0"/>
        <w:rPr>
          <w:sz w:val="21"/>
        </w:rPr>
      </w:pPr>
    </w:p>
    <w:p>
      <w:pPr>
        <w:numPr>
          <w:ilvl w:val="0"/>
          <w:numId w:val="0"/>
        </w:numPr>
        <w:ind w:leftChars="0"/>
        <w:rPr>
          <w:sz w:val="21"/>
        </w:rPr>
      </w:pPr>
      <w:bookmarkStart w:id="12" w:name="_Toc353923700"/>
      <w:bookmarkStart w:id="13" w:name="_Toc2067171713"/>
      <w:bookmarkStart w:id="14" w:name="_Toc566716454"/>
      <w:bookmarkStart w:id="15" w:name="_Toc1532022914"/>
      <w:r>
        <w:rPr>
          <w:sz w:val="21"/>
        </w:rPr>
        <w:t>第二轮标定过程</w:t>
      </w:r>
      <w:bookmarkEnd w:id="12"/>
      <w:bookmarkEnd w:id="13"/>
      <w:bookmarkEnd w:id="14"/>
      <w:bookmarkEnd w:id="15"/>
    </w:p>
    <w:p>
      <w:pPr>
        <w:numPr>
          <w:ilvl w:val="0"/>
          <w:numId w:val="5"/>
        </w:numPr>
        <w:rPr>
          <w:rFonts w:hint="default"/>
          <w:sz w:val="21"/>
        </w:rPr>
      </w:pPr>
      <w:r>
        <w:rPr>
          <w:rFonts w:hint="eastAsia"/>
          <w:sz w:val="21"/>
        </w:rPr>
        <w:t>打开GAMS,跑10~15分钟后,在非常开阔的路段跑车并采集10~15分钟10Hz的GSOF INS FULL NAV 和1Hz的INS RMS数据,提取里面Heading RMS优于0.06且INS状态为FULL,GNSS状态为RTK且车速大于10m/s的所有数据,用Heading减去Track。以此计算Primary to</w:t>
      </w:r>
      <w:r>
        <w:rPr>
          <w:rFonts w:hint="default"/>
          <w:sz w:val="21"/>
        </w:rPr>
        <w:t xml:space="preserve"> </w:t>
      </w:r>
      <w:r>
        <w:rPr>
          <w:rFonts w:hint="eastAsia"/>
          <w:sz w:val="21"/>
        </w:rPr>
        <w:t>Secondary GNSS Baseline Vector</w:t>
      </w:r>
      <w:r>
        <w:rPr>
          <w:rFonts w:hint="default"/>
          <w:sz w:val="21"/>
        </w:rPr>
        <w:t>即通过这个角度的偏差来计算X的偏差，</w:t>
      </w:r>
      <w:r>
        <w:rPr>
          <w:rFonts w:hint="eastAsia"/>
          <w:sz w:val="21"/>
        </w:rPr>
        <w:t>并重新配置</w:t>
      </w:r>
      <w:r>
        <w:rPr>
          <w:rFonts w:hint="default"/>
          <w:sz w:val="21"/>
        </w:rPr>
        <w:t>如下：</w:t>
      </w:r>
    </w:p>
    <w:p>
      <w:pPr>
        <w:numPr>
          <w:ilvl w:val="0"/>
          <w:numId w:val="0"/>
        </w:numPr>
        <w:rPr>
          <w:rFonts w:hint="default"/>
          <w:sz w:val="21"/>
        </w:rPr>
      </w:pPr>
      <w:r>
        <w:drawing>
          <wp:inline distT="0" distB="0" distL="114300" distR="114300">
            <wp:extent cx="3923665" cy="609600"/>
            <wp:effectExtent l="0" t="0" r="635"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3923665" cy="609600"/>
                    </a:xfrm>
                    <a:prstGeom prst="rect">
                      <a:avLst/>
                    </a:prstGeom>
                    <a:noFill/>
                    <a:ln w="9525">
                      <a:noFill/>
                    </a:ln>
                  </pic:spPr>
                </pic:pic>
              </a:graphicData>
            </a:graphic>
          </wp:inline>
        </w:drawing>
      </w:r>
    </w:p>
    <w:p>
      <w:pPr>
        <w:numPr>
          <w:ilvl w:val="0"/>
          <w:numId w:val="0"/>
        </w:numPr>
        <w:rPr>
          <w:sz w:val="21"/>
        </w:rPr>
      </w:pPr>
      <w:r>
        <w:rPr>
          <w:sz w:val="21"/>
        </w:rPr>
        <w:drawing>
          <wp:inline distT="0" distB="0" distL="114300" distR="114300">
            <wp:extent cx="5272405" cy="2172335"/>
            <wp:effectExtent l="0" t="0" r="4445" b="184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7"/>
                    <a:stretch>
                      <a:fillRect/>
                    </a:stretch>
                  </pic:blipFill>
                  <pic:spPr>
                    <a:xfrm>
                      <a:off x="0" y="0"/>
                      <a:ext cx="5272405" cy="2172335"/>
                    </a:xfrm>
                    <a:prstGeom prst="rect">
                      <a:avLst/>
                    </a:prstGeom>
                    <a:noFill/>
                    <a:ln w="9525">
                      <a:noFill/>
                    </a:ln>
                  </pic:spPr>
                </pic:pic>
              </a:graphicData>
            </a:graphic>
          </wp:inline>
        </w:drawing>
      </w:r>
    </w:p>
    <w:p>
      <w:pPr>
        <w:numPr>
          <w:ilvl w:val="0"/>
          <w:numId w:val="5"/>
        </w:numPr>
        <w:rPr>
          <w:sz w:val="21"/>
        </w:rPr>
      </w:pPr>
      <w:r>
        <w:rPr>
          <w:sz w:val="21"/>
        </w:rPr>
        <w:t>本次标定类似与第一轮标定过程，只不过IMU的heading变为了測向天线坐标系的heading。</w:t>
      </w:r>
    </w:p>
    <w:p>
      <w:pPr>
        <w:widowControl w:val="0"/>
        <w:numPr>
          <w:ilvl w:val="0"/>
          <w:numId w:val="0"/>
        </w:numPr>
        <w:jc w:val="both"/>
        <w:rPr>
          <w:sz w:val="21"/>
        </w:rPr>
      </w:pPr>
    </w:p>
    <w:p>
      <w:pPr>
        <w:widowControl w:val="0"/>
        <w:numPr>
          <w:ilvl w:val="0"/>
          <w:numId w:val="0"/>
        </w:numPr>
        <w:jc w:val="both"/>
        <w:rPr>
          <w:sz w:val="21"/>
        </w:rPr>
      </w:pPr>
      <w:bookmarkStart w:id="16" w:name="_Toc1901724332"/>
      <w:bookmarkStart w:id="17" w:name="_Toc1003021814"/>
      <w:bookmarkStart w:id="18" w:name="_Toc497901381"/>
      <w:bookmarkStart w:id="19" w:name="_Toc903396748"/>
      <w:r>
        <w:rPr>
          <w:sz w:val="21"/>
        </w:rPr>
        <w:t>第三轮标定过程</w:t>
      </w:r>
      <w:bookmarkEnd w:id="16"/>
      <w:bookmarkEnd w:id="17"/>
      <w:bookmarkEnd w:id="18"/>
      <w:bookmarkEnd w:id="19"/>
    </w:p>
    <w:p>
      <w:pPr>
        <w:widowControl w:val="0"/>
        <w:numPr>
          <w:ilvl w:val="0"/>
          <w:numId w:val="0"/>
        </w:numPr>
        <w:jc w:val="both"/>
        <w:rPr>
          <w:sz w:val="21"/>
        </w:rPr>
      </w:pPr>
      <w:r>
        <w:rPr>
          <w:sz w:val="21"/>
        </w:rPr>
        <w:t>在标定之前建议把配置页面对应位置的标准差填写为0.1，这个值约几倍于真实标准差，其相当于卡尔曼滤波器中递推的协方差矩阵（其实根据不完全了解，惯导厂家就是这么实现的），同理其他提前测量并填入的平移量也是作为卡尔曼滤波器的初值，仅仅是为了加快其迭代收敛的速度。</w:t>
      </w:r>
    </w:p>
    <w:p>
      <w:pPr>
        <w:widowControl w:val="0"/>
        <w:numPr>
          <w:ilvl w:val="0"/>
          <w:numId w:val="0"/>
        </w:numPr>
        <w:jc w:val="both"/>
        <w:rPr>
          <w:sz w:val="21"/>
        </w:rPr>
      </w:pPr>
      <w:r>
        <w:rPr>
          <w:sz w:val="21"/>
        </w:rPr>
        <w:t>此轮标定过程为全自动过程，</w:t>
      </w:r>
      <w:r>
        <w:rPr>
          <w:rFonts w:hint="eastAsia"/>
          <w:sz w:val="21"/>
        </w:rPr>
        <w:t>跑10~15分钟,将设备自己计算得到的REF to PRI ant lever arm 赋值过来即可(此时设备自己计算的REF to PRE ant lever arm在转弯时变化应不超过1cm,设备自己的估计1-σ小于0.06m)。</w:t>
      </w:r>
      <w:r>
        <w:rPr>
          <w:sz w:val="21"/>
        </w:rPr>
        <w:t>,最后点击“&lt;&lt;”将配置页面上的自动计算好的标定数据复制到左侧，完成惯导的标定。</w:t>
      </w:r>
    </w:p>
    <w:p>
      <w:pPr>
        <w:widowControl w:val="0"/>
        <w:numPr>
          <w:ilvl w:val="0"/>
          <w:numId w:val="0"/>
        </w:numPr>
        <w:jc w:val="both"/>
        <w:rPr>
          <w:sz w:val="21"/>
        </w:rPr>
      </w:pPr>
    </w:p>
    <w:p>
      <w:pPr>
        <w:pStyle w:val="4"/>
        <w:numPr>
          <w:ilvl w:val="0"/>
          <w:numId w:val="1"/>
        </w:numPr>
        <w:rPr>
          <w:b/>
        </w:rPr>
      </w:pPr>
      <w:bookmarkStart w:id="20" w:name="_Toc161471458"/>
      <w:bookmarkStart w:id="21" w:name="_Toc1391641421"/>
      <w:bookmarkStart w:id="22" w:name="_Toc1820412158"/>
      <w:bookmarkStart w:id="23" w:name="_Toc1350532031"/>
      <w:r>
        <w:rPr>
          <w:b/>
        </w:rPr>
        <w:t>本文档说明</w:t>
      </w:r>
      <w:bookmarkEnd w:id="20"/>
      <w:bookmarkEnd w:id="21"/>
      <w:bookmarkEnd w:id="22"/>
      <w:bookmarkEnd w:id="23"/>
    </w:p>
    <w:p>
      <w:pPr>
        <w:widowControl w:val="0"/>
        <w:numPr>
          <w:ilvl w:val="0"/>
          <w:numId w:val="0"/>
        </w:numPr>
        <w:jc w:val="both"/>
        <w:rPr>
          <w:sz w:val="21"/>
        </w:rPr>
      </w:pPr>
      <w:r>
        <w:rPr>
          <w:sz w:val="21"/>
        </w:rPr>
        <w:t>1.本文档主要是通过与惯导供应商的交流、参考相关资料并结合自己的理解总结出,可能存在疏漏或错误，如果发现欢迎大家及时纠正。</w:t>
      </w:r>
    </w:p>
    <w:p>
      <w:pPr>
        <w:widowControl w:val="0"/>
        <w:numPr>
          <w:ilvl w:val="0"/>
          <w:numId w:val="0"/>
        </w:numPr>
        <w:jc w:val="both"/>
        <w:rPr>
          <w:sz w:val="21"/>
        </w:rPr>
      </w:pPr>
      <w:r>
        <w:rPr>
          <w:sz w:val="21"/>
        </w:rPr>
        <w:t>2.本文档主要目标是覆盖惯导标定相关原理及操作注意事项。</w:t>
      </w:r>
    </w:p>
    <w:p>
      <w:pPr>
        <w:widowControl w:val="0"/>
        <w:numPr>
          <w:ilvl w:val="0"/>
          <w:numId w:val="0"/>
        </w:numPr>
        <w:jc w:val="both"/>
        <w:rPr>
          <w:sz w:val="21"/>
        </w:rPr>
      </w:pPr>
      <w:r>
        <w:rPr>
          <w:sz w:val="21"/>
        </w:rPr>
        <w:t>3.本文档操作细节覆盖较粗略，如需要了解更详细操作过程可以参考下文列出的相关文档。</w:t>
      </w:r>
    </w:p>
    <w:p>
      <w:pPr>
        <w:widowControl w:val="0"/>
        <w:numPr>
          <w:ilvl w:val="0"/>
          <w:numId w:val="0"/>
        </w:numPr>
        <w:jc w:val="both"/>
        <w:rPr>
          <w:sz w:val="21"/>
        </w:rPr>
      </w:pPr>
    </w:p>
    <w:p>
      <w:pPr>
        <w:pStyle w:val="4"/>
        <w:numPr>
          <w:ilvl w:val="0"/>
          <w:numId w:val="1"/>
        </w:numPr>
        <w:rPr>
          <w:b/>
        </w:rPr>
      </w:pPr>
      <w:bookmarkStart w:id="24" w:name="_Toc1746579119"/>
      <w:r>
        <w:rPr>
          <w:b/>
        </w:rPr>
        <w:t>参考资料</w:t>
      </w:r>
      <w:bookmarkEnd w:id="24"/>
    </w:p>
    <w:p>
      <w:pPr>
        <w:rPr>
          <w:rFonts w:hint="eastAsia"/>
        </w:rPr>
      </w:pPr>
      <w:r>
        <w:rPr>
          <w:rFonts w:hint="eastAsia"/>
        </w:rPr>
        <w:t>LVX培训资料(陈瑶).pdf</w:t>
      </w:r>
    </w:p>
    <w:p>
      <w:pPr>
        <w:rPr>
          <w:sz w:val="21"/>
        </w:rPr>
      </w:pPr>
      <w:r>
        <w:rPr>
          <w:rFonts w:hint="eastAsia"/>
        </w:rPr>
        <w:t>七维惯导标定</w:t>
      </w:r>
      <w:r>
        <w:rPr>
          <w:rFonts w:hint="default"/>
        </w:rPr>
        <w:t>（任琦）</w:t>
      </w:r>
      <w:bookmarkStart w:id="25" w:name="_GoBack"/>
      <w:bookmarkEnd w:id="2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DCABB6"/>
    <w:multiLevelType w:val="singleLevel"/>
    <w:tmpl w:val="A5DCABB6"/>
    <w:lvl w:ilvl="0" w:tentative="0">
      <w:start w:val="1"/>
      <w:numFmt w:val="chineseCounting"/>
      <w:suff w:val="nothing"/>
      <w:lvlText w:val="%1、"/>
      <w:lvlJc w:val="left"/>
      <w:pPr>
        <w:ind w:left="0" w:firstLine="420"/>
      </w:pPr>
      <w:rPr>
        <w:rFonts w:hint="eastAsia"/>
      </w:rPr>
    </w:lvl>
  </w:abstractNum>
  <w:abstractNum w:abstractNumId="1">
    <w:nsid w:val="DD4E2504"/>
    <w:multiLevelType w:val="singleLevel"/>
    <w:tmpl w:val="DD4E2504"/>
    <w:lvl w:ilvl="0" w:tentative="0">
      <w:start w:val="1"/>
      <w:numFmt w:val="decimal"/>
      <w:suff w:val="nothing"/>
      <w:lvlText w:val="（%1）"/>
      <w:lvlJc w:val="left"/>
    </w:lvl>
  </w:abstractNum>
  <w:abstractNum w:abstractNumId="2">
    <w:nsid w:val="DE9AA33D"/>
    <w:multiLevelType w:val="singleLevel"/>
    <w:tmpl w:val="DE9AA33D"/>
    <w:lvl w:ilvl="0" w:tentative="0">
      <w:start w:val="1"/>
      <w:numFmt w:val="decimal"/>
      <w:lvlText w:val="%1."/>
      <w:lvlJc w:val="left"/>
      <w:pPr>
        <w:tabs>
          <w:tab w:val="left" w:pos="312"/>
        </w:tabs>
      </w:pPr>
    </w:lvl>
  </w:abstractNum>
  <w:abstractNum w:abstractNumId="3">
    <w:nsid w:val="E74E8FCC"/>
    <w:multiLevelType w:val="singleLevel"/>
    <w:tmpl w:val="E74E8FCC"/>
    <w:lvl w:ilvl="0" w:tentative="0">
      <w:start w:val="1"/>
      <w:numFmt w:val="decimal"/>
      <w:lvlText w:val="%1."/>
      <w:lvlJc w:val="left"/>
      <w:pPr>
        <w:tabs>
          <w:tab w:val="left" w:pos="312"/>
        </w:tabs>
      </w:pPr>
    </w:lvl>
  </w:abstractNum>
  <w:abstractNum w:abstractNumId="4">
    <w:nsid w:val="EB6C2098"/>
    <w:multiLevelType w:val="singleLevel"/>
    <w:tmpl w:val="EB6C2098"/>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53D3FC3"/>
    <w:rsid w:val="15FF1341"/>
    <w:rsid w:val="17C74DCF"/>
    <w:rsid w:val="1EFFB5B9"/>
    <w:rsid w:val="1FFEF526"/>
    <w:rsid w:val="27FF7016"/>
    <w:rsid w:val="2FBF4BEE"/>
    <w:rsid w:val="2FBFB794"/>
    <w:rsid w:val="355E0F76"/>
    <w:rsid w:val="367E948C"/>
    <w:rsid w:val="37BFE152"/>
    <w:rsid w:val="39FFB033"/>
    <w:rsid w:val="3CFDFC3D"/>
    <w:rsid w:val="3D9FC07D"/>
    <w:rsid w:val="3DB752AE"/>
    <w:rsid w:val="3EE7BD3D"/>
    <w:rsid w:val="3EF265DB"/>
    <w:rsid w:val="3FDEA654"/>
    <w:rsid w:val="46F3F89C"/>
    <w:rsid w:val="4BEB7102"/>
    <w:rsid w:val="4BED8559"/>
    <w:rsid w:val="4DBF3233"/>
    <w:rsid w:val="4DDE51BF"/>
    <w:rsid w:val="4F858C1C"/>
    <w:rsid w:val="4FFCE4FC"/>
    <w:rsid w:val="539DCDE7"/>
    <w:rsid w:val="5BD462C2"/>
    <w:rsid w:val="5BFBEC96"/>
    <w:rsid w:val="5BFFBDAD"/>
    <w:rsid w:val="5CFAB6AB"/>
    <w:rsid w:val="5DB91AA9"/>
    <w:rsid w:val="5E704F6C"/>
    <w:rsid w:val="5EEB2B1F"/>
    <w:rsid w:val="5FBFFA91"/>
    <w:rsid w:val="5FF753FF"/>
    <w:rsid w:val="62E32F62"/>
    <w:rsid w:val="63F12981"/>
    <w:rsid w:val="66B71F5E"/>
    <w:rsid w:val="67CC1D64"/>
    <w:rsid w:val="6D7D6E22"/>
    <w:rsid w:val="6FEEBC11"/>
    <w:rsid w:val="71F74C43"/>
    <w:rsid w:val="727C949A"/>
    <w:rsid w:val="73778EF8"/>
    <w:rsid w:val="737F323B"/>
    <w:rsid w:val="75F54159"/>
    <w:rsid w:val="765F5212"/>
    <w:rsid w:val="76C166CE"/>
    <w:rsid w:val="76FF5ABF"/>
    <w:rsid w:val="77AB3767"/>
    <w:rsid w:val="77EE90D9"/>
    <w:rsid w:val="797480D9"/>
    <w:rsid w:val="7AC7F0D2"/>
    <w:rsid w:val="7B3F0B1A"/>
    <w:rsid w:val="7BB71820"/>
    <w:rsid w:val="7BDC2C91"/>
    <w:rsid w:val="7BEF48C7"/>
    <w:rsid w:val="7BF9C62C"/>
    <w:rsid w:val="7DDFB2E5"/>
    <w:rsid w:val="7DFD3AFC"/>
    <w:rsid w:val="7DFF965D"/>
    <w:rsid w:val="7EBBA887"/>
    <w:rsid w:val="7F43199C"/>
    <w:rsid w:val="7F58F69C"/>
    <w:rsid w:val="7F9B9911"/>
    <w:rsid w:val="7F9D71AD"/>
    <w:rsid w:val="7F9FC853"/>
    <w:rsid w:val="7FB76F68"/>
    <w:rsid w:val="7FBF2EE2"/>
    <w:rsid w:val="7FBF7D6B"/>
    <w:rsid w:val="7FD7A633"/>
    <w:rsid w:val="7FDF1082"/>
    <w:rsid w:val="7FFF5601"/>
    <w:rsid w:val="7FFFC6BB"/>
    <w:rsid w:val="7FFFFE47"/>
    <w:rsid w:val="956B6D4E"/>
    <w:rsid w:val="9F777917"/>
    <w:rsid w:val="A79D6202"/>
    <w:rsid w:val="A7FB11B8"/>
    <w:rsid w:val="AF4BD257"/>
    <w:rsid w:val="B74B8686"/>
    <w:rsid w:val="B7F76D60"/>
    <w:rsid w:val="B7FB10A2"/>
    <w:rsid w:val="B9C53BE7"/>
    <w:rsid w:val="BC731A1E"/>
    <w:rsid w:val="BDF154EC"/>
    <w:rsid w:val="BE56A472"/>
    <w:rsid w:val="BF3C1B2C"/>
    <w:rsid w:val="BF69AC6B"/>
    <w:rsid w:val="BFBF0194"/>
    <w:rsid w:val="BFDD22B7"/>
    <w:rsid w:val="BFDFF3EA"/>
    <w:rsid w:val="BFE57323"/>
    <w:rsid w:val="BFFD7C95"/>
    <w:rsid w:val="C5234141"/>
    <w:rsid w:val="CFC71947"/>
    <w:rsid w:val="D2EFA94A"/>
    <w:rsid w:val="D9C6EBC8"/>
    <w:rsid w:val="DBEF03E4"/>
    <w:rsid w:val="DBFDFF87"/>
    <w:rsid w:val="DCFF6FDD"/>
    <w:rsid w:val="DD4F4F79"/>
    <w:rsid w:val="DED7D5D5"/>
    <w:rsid w:val="DEFB7769"/>
    <w:rsid w:val="DFBC3B09"/>
    <w:rsid w:val="DFE64FA9"/>
    <w:rsid w:val="DFEF9F4B"/>
    <w:rsid w:val="DFFDC208"/>
    <w:rsid w:val="DFFFBC2D"/>
    <w:rsid w:val="DFFFE997"/>
    <w:rsid w:val="E7BEDC5E"/>
    <w:rsid w:val="EB5F8BA9"/>
    <w:rsid w:val="EB7D9133"/>
    <w:rsid w:val="EBE35B98"/>
    <w:rsid w:val="EBFE231B"/>
    <w:rsid w:val="EF9FEC03"/>
    <w:rsid w:val="EFDFD676"/>
    <w:rsid w:val="EFEE2BAE"/>
    <w:rsid w:val="EFF9B460"/>
    <w:rsid w:val="EFFFB4EA"/>
    <w:rsid w:val="EFFFF4B0"/>
    <w:rsid w:val="F17F7776"/>
    <w:rsid w:val="F1FD243A"/>
    <w:rsid w:val="F6CCE4C9"/>
    <w:rsid w:val="F7D3CADA"/>
    <w:rsid w:val="F7EB9C89"/>
    <w:rsid w:val="F7FA27A3"/>
    <w:rsid w:val="F7FDC27F"/>
    <w:rsid w:val="F7FDE87D"/>
    <w:rsid w:val="F7FFDA2F"/>
    <w:rsid w:val="F7FFEAE5"/>
    <w:rsid w:val="F82F901B"/>
    <w:rsid w:val="F88F2F80"/>
    <w:rsid w:val="F9AB0280"/>
    <w:rsid w:val="FB6F40C0"/>
    <w:rsid w:val="FBA44088"/>
    <w:rsid w:val="FBBE2981"/>
    <w:rsid w:val="FBBECD9E"/>
    <w:rsid w:val="FBEE6A1A"/>
    <w:rsid w:val="FBFBAF73"/>
    <w:rsid w:val="FCEFE0E8"/>
    <w:rsid w:val="FD7A04FD"/>
    <w:rsid w:val="FDB1B50E"/>
    <w:rsid w:val="FDDBEA2B"/>
    <w:rsid w:val="FEA50956"/>
    <w:rsid w:val="FEC7DDA6"/>
    <w:rsid w:val="FEF7F0DC"/>
    <w:rsid w:val="FF6899AA"/>
    <w:rsid w:val="FF9D336F"/>
    <w:rsid w:val="FFD7F673"/>
    <w:rsid w:val="FFDF3287"/>
    <w:rsid w:val="FFDF5669"/>
    <w:rsid w:val="FFF32C6D"/>
    <w:rsid w:val="FFF784C9"/>
    <w:rsid w:val="FFF7883A"/>
    <w:rsid w:val="FFFE1730"/>
    <w:rsid w:val="FFFFB540"/>
    <w:rsid w:val="FFFFF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customStyle="1" w:styleId="7">
    <w:name w:val="WPSOffice手动目录 1"/>
    <w:uiPriority w:val="0"/>
    <w:pPr>
      <w:ind w:leftChars="0"/>
    </w:pPr>
    <w:rPr>
      <w:rFonts w:asciiTheme="minorHAnsi" w:hAnsiTheme="minorHAnsi" w:eastAsiaTheme="minorEastAsia" w:cstheme="minorBidi"/>
      <w:sz w:val="20"/>
      <w:szCs w:val="20"/>
    </w:rPr>
  </w:style>
  <w:style w:type="paragraph" w:customStyle="1" w:styleId="8">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ba23cbf-19d5-431d-948a-ac61c030ce1a}"/>
        <w:style w:val=""/>
        <w:category>
          <w:name w:val="常规"/>
          <w:gallery w:val="placeholder"/>
        </w:category>
        <w:types>
          <w:type w:val="bbPlcHdr"/>
        </w:types>
        <w:behaviors>
          <w:behavior w:val="content"/>
        </w:behaviors>
        <w:description w:val=""/>
        <w:guid w:val="{3ba23cbf-19d5-431d-948a-ac61c030ce1a}"/>
      </w:docPartPr>
      <w:docPartBody>
        <w:p>
          <w:r>
            <w:rPr>
              <w:color w:val="808080"/>
            </w:rPr>
            <w:t>单击此处输入文字。</w:t>
          </w:r>
        </w:p>
      </w:docPartBody>
    </w:docPart>
    <w:docPart>
      <w:docPartPr>
        <w:name w:val="{387655fc-0cec-4ac6-88c1-e32ee2615834}"/>
        <w:style w:val=""/>
        <w:category>
          <w:name w:val="常规"/>
          <w:gallery w:val="placeholder"/>
        </w:category>
        <w:types>
          <w:type w:val="bbPlcHdr"/>
        </w:types>
        <w:behaviors>
          <w:behavior w:val="content"/>
        </w:behaviors>
        <w:description w:val=""/>
        <w:guid w:val="{387655fc-0cec-4ac6-88c1-e32ee2615834}"/>
      </w:docPartPr>
      <w:docPartBody>
        <w:p>
          <w:r>
            <w:rPr>
              <w:color w:val="808080"/>
            </w:rPr>
            <w:t>单击此处输入文字。</w:t>
          </w:r>
        </w:p>
      </w:docPartBody>
    </w:docPart>
    <w:docPart>
      <w:docPartPr>
        <w:name w:val="{b41f50a7-806f-4ee4-8f84-d46826139df6}"/>
        <w:style w:val=""/>
        <w:category>
          <w:name w:val="常规"/>
          <w:gallery w:val="placeholder"/>
        </w:category>
        <w:types>
          <w:type w:val="bbPlcHdr"/>
        </w:types>
        <w:behaviors>
          <w:behavior w:val="content"/>
        </w:behaviors>
        <w:description w:val=""/>
        <w:guid w:val="{b41f50a7-806f-4ee4-8f84-d46826139df6}"/>
      </w:docPartPr>
      <w:docPartBody>
        <w:p>
          <w:r>
            <w:rPr>
              <w:color w:val="808080"/>
            </w:rPr>
            <w:t>单击此处输入文字。</w:t>
          </w:r>
        </w:p>
      </w:docPartBody>
    </w:docPart>
    <w:docPart>
      <w:docPartPr>
        <w:name w:val="{c652e922-e7bb-478f-96de-5cf602550977}"/>
        <w:style w:val=""/>
        <w:category>
          <w:name w:val="常规"/>
          <w:gallery w:val="placeholder"/>
        </w:category>
        <w:types>
          <w:type w:val="bbPlcHdr"/>
        </w:types>
        <w:behaviors>
          <w:behavior w:val="content"/>
        </w:behaviors>
        <w:description w:val=""/>
        <w:guid w:val="{c652e922-e7bb-478f-96de-5cf602550977}"/>
      </w:docPartPr>
      <w:docPartBody>
        <w:p>
          <w:r>
            <w:rPr>
              <w:color w:val="808080"/>
            </w:rPr>
            <w:t>单击此处输入文字。</w:t>
          </w:r>
        </w:p>
      </w:docPartBody>
    </w:docPart>
    <w:docPart>
      <w:docPartPr>
        <w:name w:val="{99dae3ab-0417-49ee-be56-ef44509de229}"/>
        <w:style w:val=""/>
        <w:category>
          <w:name w:val="常规"/>
          <w:gallery w:val="placeholder"/>
        </w:category>
        <w:types>
          <w:type w:val="bbPlcHdr"/>
        </w:types>
        <w:behaviors>
          <w:behavior w:val="content"/>
        </w:behaviors>
        <w:description w:val=""/>
        <w:guid w:val="{99dae3ab-0417-49ee-be56-ef44509de229}"/>
      </w:docPartPr>
      <w:docPartBody>
        <w:p>
          <w:r>
            <w:rPr>
              <w:color w:val="808080"/>
            </w:rPr>
            <w:t>单击此处输入文字。</w:t>
          </w:r>
        </w:p>
      </w:docPartBody>
    </w:docPart>
    <w:docPart>
      <w:docPartPr>
        <w:name w:val="{93979432-383e-4a6f-9f83-04f56a58e997}"/>
        <w:style w:val=""/>
        <w:category>
          <w:name w:val="常规"/>
          <w:gallery w:val="placeholder"/>
        </w:category>
        <w:types>
          <w:type w:val="bbPlcHdr"/>
        </w:types>
        <w:behaviors>
          <w:behavior w:val="content"/>
        </w:behaviors>
        <w:description w:val=""/>
        <w:guid w:val="{93979432-383e-4a6f-9f83-04f56a58e997}"/>
      </w:docPartPr>
      <w:docPartBody>
        <w:p>
          <w:r>
            <w:rPr>
              <w:color w:val="808080"/>
            </w:rPr>
            <w:t>单击此处输入文字。</w:t>
          </w:r>
        </w:p>
      </w:docPartBody>
    </w:docPart>
    <w:docPart>
      <w:docPartPr>
        <w:name w:val="{841be998-a6ea-4725-9615-60ab3b488f4c}"/>
        <w:style w:val=""/>
        <w:category>
          <w:name w:val="常规"/>
          <w:gallery w:val="placeholder"/>
        </w:category>
        <w:types>
          <w:type w:val="bbPlcHdr"/>
        </w:types>
        <w:behaviors>
          <w:behavior w:val="content"/>
        </w:behaviors>
        <w:description w:val=""/>
        <w:guid w:val="{841be998-a6ea-4725-9615-60ab3b488f4c}"/>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1935</Words>
  <Characters>2405</Characters>
  <Lines>0</Lines>
  <Paragraphs>0</Paragraphs>
  <TotalTime>0</TotalTime>
  <ScaleCrop>false</ScaleCrop>
  <LinksUpToDate>false</LinksUpToDate>
  <CharactersWithSpaces>2453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2019-04-21T05:35:00Z</dcterms:created>
  <dc:creator>ubuntu</dc:creator>
  <cp:lastModifiedBy>ubuntu</cp:lastModifiedBy>
  <dcterms:modified xsi:type="dcterms:W3CDTF">2019-04-24T17:38:04Z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