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students will have mastered strategies that allow them to use the above-listed, freely-available and open-source tools for conducting their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w:t>
      </w:r>
      <w:r>
        <w:br w:type="textWrapping"/>
      </w:r>
      <w:r>
        <w:t xml:space="preserve">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Report from a Stanford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w:t>
      </w:r>
      <w:r>
        <w:br w:type="textWrapping"/>
      </w:r>
      <w:r>
        <w:t xml:space="preserve">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w:t>
      </w:r>
      <w:r>
        <w:br w:type="textWrapping"/>
      </w:r>
      <w:r>
        <w:t xml:space="preserve">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and until the journals get their act together and start accepting markdown-formatted articles.</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883c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96c4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c29a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