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Alau Term: pre-defence project dossier</w:t>
      </w:r>
    </w:p>
    <w:p>
      <w:r>
        <w:t>Working version for the 20 October 2026 checkpoint | revised 14 October 2026</w:t>
      </w:r>
    </w:p>
    <w:p>
      <w:r>
        <w:t>Team: Ғалым Ғапар Азаматұлы (given name: Ғапар; Gapo-7) and Нұрлан Рамазан (Tenma24). Academic supervisor: Aigerim B. Kydyrbekova (name as supplied in the template; confirm official spelling).</w:t>
      </w:r>
    </w:p>
    <w:p>
      <w:r>
        <w:t>This dossier defines the proposed bilingual public website and internal CRM for equipment sales and repair visits. It is a planning and evidence document. A static site snapshot in GitHub demonstrates page structure; it is not yet a working CRM or an operational pilot.</w:t>
      </w:r>
    </w:p>
    <w:p>
      <w:pPr>
        <w:pStyle w:val="Heading1"/>
      </w:pPr>
      <w:r>
        <w:t>1. Project proposal and responsibility</w:t>
      </w:r>
    </w:p>
    <w:p>
      <w:r>
        <w:t>Proposed title: Design and development of a bilingual web platform with a sales and field-service CRM for Alau Term. The public part will present boiler equipment and services in Russian and Kazakh and accept enquiries. The internal part will help administrators and managers process sales leads, assign repair work and track technician visits.</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1757"/>
          </w:tcPr>
          <w:p>
            <w:pPr>
              <w:keepNext/>
              <w:spacing w:after="20" w:line="245" w:lineRule="auto"/>
            </w:pPr>
            <w:r>
              <w:rPr>
                <w:rFonts w:ascii="Arial" w:hAnsi="Arial"/>
                <w:b/>
                <w:color w:val="000000"/>
                <w:sz w:val="16"/>
              </w:rPr>
              <w:t>Member</w:t>
            </w:r>
          </w:p>
        </w:tc>
        <w:tc>
          <w:tcPr>
            <w:tcW w:type="dxa" w:w="2948"/>
          </w:tcPr>
          <w:p>
            <w:pPr>
              <w:keepNext/>
              <w:spacing w:after="20" w:line="245" w:lineRule="auto"/>
            </w:pPr>
            <w:r>
              <w:rPr>
                <w:rFonts w:ascii="Arial" w:hAnsi="Arial"/>
                <w:b/>
                <w:color w:val="000000"/>
                <w:sz w:val="16"/>
              </w:rPr>
              <w:t>Primary contribution</w:t>
            </w:r>
          </w:p>
        </w:tc>
        <w:tc>
          <w:tcPr>
            <w:tcW w:type="dxa" w:w="5102"/>
          </w:tcPr>
          <w:p>
            <w:pPr>
              <w:keepNext/>
              <w:spacing w:after="20" w:line="245" w:lineRule="auto"/>
            </w:pPr>
            <w:r>
              <w:rPr>
                <w:rFonts w:ascii="Arial" w:hAnsi="Arial"/>
                <w:b/>
                <w:color w:val="000000"/>
                <w:sz w:val="16"/>
              </w:rPr>
              <w:t>Reviewable output</w:t>
            </w:r>
          </w:p>
        </w:tc>
      </w:tr>
      <w:tr>
        <w:trPr>
          <w:cantSplit/>
        </w:trPr>
        <w:tc>
          <w:tcPr>
            <w:tcW w:type="dxa" w:w="1757"/>
            <w:vAlign w:val="top"/>
          </w:tcPr>
          <w:p>
            <w:pPr>
              <w:spacing w:after="20" w:line="245" w:lineRule="auto"/>
            </w:pPr>
            <w:r>
              <w:rPr>
                <w:rFonts w:ascii="Arial" w:hAnsi="Arial"/>
                <w:color w:val="000000"/>
                <w:sz w:val="16"/>
              </w:rPr>
              <w:t>Ғапар / Gapo-7</w:t>
            </w:r>
          </w:p>
        </w:tc>
        <w:tc>
          <w:tcPr>
            <w:tcW w:type="dxa" w:w="2948"/>
            <w:vAlign w:val="top"/>
          </w:tcPr>
          <w:p>
            <w:pPr>
              <w:spacing w:after="20" w:line="245" w:lineRule="auto"/>
            </w:pPr>
            <w:r>
              <w:rPr>
                <w:rFonts w:ascii="Arial" w:hAnsi="Arial"/>
                <w:color w:val="000000"/>
                <w:sz w:val="16"/>
              </w:rPr>
              <w:t>Analysis, data and server side</w:t>
            </w:r>
          </w:p>
        </w:tc>
        <w:tc>
          <w:tcPr>
            <w:tcW w:type="dxa" w:w="5102"/>
            <w:vAlign w:val="top"/>
          </w:tcPr>
          <w:p>
            <w:pPr>
              <w:spacing w:after="20" w:line="245" w:lineRule="auto"/>
            </w:pPr>
            <w:r>
              <w:rPr>
                <w:rFonts w:ascii="Arial" w:hAnsi="Arial"/>
                <w:color w:val="000000"/>
                <w:sz w:val="16"/>
              </w:rPr>
              <w:t>Scope and requirements; process/data models; roles, catalogue, enquiry and CRM server logic; persistence and access tests.</w:t>
            </w:r>
          </w:p>
        </w:tc>
      </w:tr>
      <w:tr>
        <w:trPr>
          <w:cantSplit/>
        </w:trPr>
        <w:tc>
          <w:tcPr>
            <w:tcW w:type="dxa" w:w="1757"/>
            <w:vAlign w:val="top"/>
          </w:tcPr>
          <w:p>
            <w:pPr>
              <w:spacing w:after="20" w:line="245" w:lineRule="auto"/>
            </w:pPr>
            <w:r>
              <w:rPr>
                <w:rFonts w:ascii="Arial" w:hAnsi="Arial"/>
                <w:color w:val="000000"/>
                <w:sz w:val="16"/>
              </w:rPr>
              <w:t>Рамазан / Tenma24</w:t>
            </w:r>
          </w:p>
        </w:tc>
        <w:tc>
          <w:tcPr>
            <w:tcW w:type="dxa" w:w="2948"/>
            <w:vAlign w:val="top"/>
          </w:tcPr>
          <w:p>
            <w:pPr>
              <w:spacing w:after="20" w:line="245" w:lineRule="auto"/>
            </w:pPr>
            <w:r>
              <w:rPr>
                <w:rFonts w:ascii="Arial" w:hAnsi="Arial"/>
                <w:color w:val="000000"/>
                <w:sz w:val="16"/>
              </w:rPr>
              <w:t>Interface and user evaluation</w:t>
            </w:r>
          </w:p>
        </w:tc>
        <w:tc>
          <w:tcPr>
            <w:tcW w:type="dxa" w:w="5102"/>
            <w:vAlign w:val="top"/>
          </w:tcPr>
          <w:p>
            <w:pPr>
              <w:spacing w:after="20" w:line="245" w:lineRule="auto"/>
            </w:pPr>
            <w:r>
              <w:rPr>
                <w:rFonts w:ascii="Arial" w:hAnsi="Arial"/>
                <w:color w:val="000000"/>
                <w:sz w:val="16"/>
              </w:rPr>
              <w:t>Comparable-system analysis; scenarios and wireframes; responsive RU/KK public and CRM screens; form integration, language and usability checks.</w:t>
            </w:r>
          </w:p>
        </w:tc>
      </w:tr>
      <w:tr>
        <w:trPr>
          <w:cantSplit/>
        </w:trPr>
        <w:tc>
          <w:tcPr>
            <w:tcW w:type="dxa" w:w="1757"/>
            <w:vAlign w:val="top"/>
          </w:tcPr>
          <w:p>
            <w:pPr>
              <w:spacing w:after="20" w:line="245" w:lineRule="auto"/>
            </w:pPr>
            <w:r>
              <w:rPr>
                <w:rFonts w:ascii="Arial" w:hAnsi="Arial"/>
                <w:color w:val="000000"/>
                <w:sz w:val="16"/>
              </w:rPr>
              <w:t>Both</w:t>
            </w:r>
          </w:p>
        </w:tc>
        <w:tc>
          <w:tcPr>
            <w:tcW w:type="dxa" w:w="2948"/>
            <w:vAlign w:val="top"/>
          </w:tcPr>
          <w:p>
            <w:pPr>
              <w:spacing w:after="20" w:line="245" w:lineRule="auto"/>
            </w:pPr>
            <w:r>
              <w:rPr>
                <w:rFonts w:ascii="Arial" w:hAnsi="Arial"/>
                <w:color w:val="000000"/>
                <w:sz w:val="16"/>
              </w:rPr>
              <w:t>Integration and academic evidence</w:t>
            </w:r>
          </w:p>
        </w:tc>
        <w:tc>
          <w:tcPr>
            <w:tcW w:type="dxa" w:w="5102"/>
            <w:vAlign w:val="top"/>
          </w:tcPr>
          <w:p>
            <w:pPr>
              <w:spacing w:after="20" w:line="245" w:lineRule="auto"/>
            </w:pPr>
            <w:r>
              <w:rPr>
                <w:rFonts w:ascii="Arial" w:hAnsi="Arial"/>
                <w:color w:val="000000"/>
                <w:sz w:val="16"/>
              </w:rPr>
              <w:t>Customer clarification, source review, architectural decisions, cross-review of PRs, final verification and presentation.</w:t>
            </w:r>
          </w:p>
        </w:tc>
      </w:tr>
    </w:tbl>
    <w:p>
      <w:pPr>
        <w:spacing w:after="0"/>
      </w:pPr>
    </w:p>
    <w:p>
      <w:r>
        <w:t>This allocation is proposed by the team and awaits supervisor confirmation. The existing Git history contains Gapo-7 work in Stages 1, 3, 5 and 7 and Tenma24 work in Stages 2, 4 and 6. Those stages capture a static website; their division does not by itself prove completed CRM functions.</w:t>
      </w:r>
    </w:p>
    <w:p>
      <w:r>
        <w:t>Scope for the diploma: product catalogue and service information; RU/KK content; sales and repair enquiry forms; manager CRM; administrator role/content controls; assignment and visit-event history; verification. Excluded from the first version unless agreed later: online payment, inventory/ERP integration, automated route optimisation, GPS tracking and a technician login/mobile application.</w:t>
      </w:r>
    </w:p>
    <w:p>
      <w:pPr>
        <w:pStyle w:val="Heading1"/>
      </w:pPr>
      <w:r>
        <w:t>2. Relevance and customer evidence</w:t>
      </w:r>
    </w:p>
    <w:p>
      <w:r>
        <w:t>Alau Term needs a coherent public entry point and an internal record of what happens after a customer contacts the company. In a repair case, a useful record links the request, responsible manager, assigned worker, planned visit and reported outcome. This rationale is supported by research on SME digital customer service and field-service scheduling [2–6], but the size of the local problem still needs measurement with Alau Term.</w:t>
      </w:r>
    </w:p>
    <w:tbl>
      <w:tblPr>
        <w:tblStyle w:val="TableGrid"/>
        <w:tblW w:type="auto" w:w="0"/>
        <w:jc w:val="center"/>
        <w:tblLayout w:type="fixed"/>
        <w:tblLook w:firstColumn="1" w:firstRow="1" w:lastColumn="0" w:lastRow="0" w:noHBand="0" w:noVBand="1" w:val="04A0"/>
      </w:tblPr>
      <w:tblGrid>
        <w:gridCol w:w="4904"/>
        <w:gridCol w:w="4904"/>
      </w:tblGrid>
      <w:tr>
        <w:trPr>
          <w:cantSplit/>
        </w:trPr>
        <w:tc>
          <w:tcPr>
            <w:tcW w:type="dxa" w:w="2041"/>
          </w:tcPr>
          <w:p>
            <w:pPr>
              <w:keepNext/>
              <w:spacing w:after="20" w:line="245" w:lineRule="auto"/>
            </w:pPr>
            <w:r>
              <w:rPr>
                <w:rFonts w:ascii="Arial" w:hAnsi="Arial"/>
                <w:b/>
                <w:color w:val="000000"/>
                <w:sz w:val="16"/>
              </w:rPr>
              <w:t>Evidence status</w:t>
            </w:r>
          </w:p>
        </w:tc>
        <w:tc>
          <w:tcPr>
            <w:tcW w:type="dxa" w:w="7767"/>
          </w:tcPr>
          <w:p>
            <w:pPr>
              <w:keepNext/>
              <w:spacing w:after="20" w:line="245" w:lineRule="auto"/>
            </w:pPr>
            <w:r>
              <w:rPr>
                <w:rFonts w:ascii="Arial" w:hAnsi="Arial"/>
                <w:b/>
                <w:color w:val="000000"/>
                <w:sz w:val="16"/>
              </w:rPr>
              <w:t>What is known / what must be obtained</w:t>
            </w:r>
          </w:p>
        </w:tc>
      </w:tr>
      <w:tr>
        <w:trPr>
          <w:cantSplit/>
        </w:trPr>
        <w:tc>
          <w:tcPr>
            <w:tcW w:type="dxa" w:w="2041"/>
            <w:vAlign w:val="top"/>
          </w:tcPr>
          <w:p>
            <w:pPr>
              <w:spacing w:after="20" w:line="245" w:lineRule="auto"/>
            </w:pPr>
            <w:r>
              <w:rPr>
                <w:rFonts w:ascii="Arial" w:hAnsi="Arial"/>
                <w:color w:val="000000"/>
                <w:sz w:val="16"/>
              </w:rPr>
              <w:t>Confirmed in conversation</w:t>
            </w:r>
          </w:p>
        </w:tc>
        <w:tc>
          <w:tcPr>
            <w:tcW w:type="dxa" w:w="7767"/>
            <w:vAlign w:val="top"/>
          </w:tcPr>
          <w:p>
            <w:pPr>
              <w:spacing w:after="20" w:line="245" w:lineRule="auto"/>
            </w:pPr>
            <w:r>
              <w:rPr>
                <w:rFonts w:ascii="Arial" w:hAnsi="Arial"/>
                <w:color w:val="000000"/>
                <w:sz w:val="16"/>
              </w:rPr>
              <w:t>A company representative verbally agreed to the project topic and functions. No date, written minutes, exact role statement or signed approval has been recorded.</w:t>
            </w:r>
          </w:p>
        </w:tc>
      </w:tr>
      <w:tr>
        <w:trPr>
          <w:cantSplit/>
        </w:trPr>
        <w:tc>
          <w:tcPr>
            <w:tcW w:type="dxa" w:w="2041"/>
            <w:vAlign w:val="top"/>
          </w:tcPr>
          <w:p>
            <w:pPr>
              <w:spacing w:after="20" w:line="245" w:lineRule="auto"/>
            </w:pPr>
            <w:r>
              <w:rPr>
                <w:rFonts w:ascii="Arial" w:hAnsi="Arial"/>
                <w:color w:val="000000"/>
                <w:sz w:val="16"/>
              </w:rPr>
              <w:t>Repository evidence</w:t>
            </w:r>
          </w:p>
        </w:tc>
        <w:tc>
          <w:tcPr>
            <w:tcW w:type="dxa" w:w="7767"/>
            <w:vAlign w:val="top"/>
          </w:tcPr>
          <w:p>
            <w:pPr>
              <w:spacing w:after="20" w:line="245" w:lineRule="auto"/>
            </w:pPr>
            <w:r>
              <w:rPr>
                <w:rFonts w:ascii="Arial" w:hAnsi="Arial"/>
                <w:color w:val="000000"/>
                <w:sz w:val="16"/>
              </w:rPr>
              <w:t>A static archive and audit are available in the DIPLOMA repository. The audit lists 2,252 sitemap entries, 1,234 saved pages, 1,018 absent entries, nine missing static assets and no populated CSRF values. These are archive-quality figures, not business outcomes.</w:t>
            </w:r>
          </w:p>
        </w:tc>
      </w:tr>
      <w:tr>
        <w:trPr>
          <w:cantSplit/>
        </w:trPr>
        <w:tc>
          <w:tcPr>
            <w:tcW w:type="dxa" w:w="2041"/>
            <w:vAlign w:val="top"/>
          </w:tcPr>
          <w:p>
            <w:pPr>
              <w:spacing w:after="20" w:line="245" w:lineRule="auto"/>
            </w:pPr>
            <w:r>
              <w:rPr>
                <w:rFonts w:ascii="Arial" w:hAnsi="Arial"/>
                <w:color w:val="000000"/>
                <w:sz w:val="16"/>
              </w:rPr>
              <w:t>To record before claims about practice</w:t>
            </w:r>
          </w:p>
        </w:tc>
        <w:tc>
          <w:tcPr>
            <w:tcW w:type="dxa" w:w="7767"/>
            <w:vAlign w:val="top"/>
          </w:tcPr>
          <w:p>
            <w:pPr>
              <w:spacing w:after="20" w:line="245" w:lineRule="auto"/>
            </w:pPr>
            <w:r>
              <w:rPr>
                <w:rFonts w:ascii="Arial" w:hAnsi="Arial"/>
                <w:color w:val="000000"/>
                <w:sz w:val="16"/>
              </w:rPr>
              <w:t>Interview a representative and at least one manager; if possible, a field worker and customer. Log date, role, consent, answers and decisions. Obtain a short confirmation of the agreed requirements.</w:t>
            </w:r>
          </w:p>
        </w:tc>
      </w:tr>
      <w:tr>
        <w:trPr>
          <w:cantSplit/>
        </w:trPr>
        <w:tc>
          <w:tcPr>
            <w:tcW w:type="dxa" w:w="2041"/>
            <w:vAlign w:val="top"/>
          </w:tcPr>
          <w:p>
            <w:pPr>
              <w:spacing w:after="20" w:line="245" w:lineRule="auto"/>
            </w:pPr>
            <w:r>
              <w:rPr>
                <w:rFonts w:ascii="Arial" w:hAnsi="Arial"/>
                <w:color w:val="000000"/>
                <w:sz w:val="16"/>
              </w:rPr>
              <w:t>Current limitation</w:t>
            </w:r>
          </w:p>
        </w:tc>
        <w:tc>
          <w:tcPr>
            <w:tcW w:type="dxa" w:w="7767"/>
            <w:vAlign w:val="top"/>
          </w:tcPr>
          <w:p>
            <w:pPr>
              <w:spacing w:after="20" w:line="245" w:lineRule="auto"/>
            </w:pPr>
            <w:r>
              <w:rPr>
                <w:rFonts w:ascii="Arial" w:hAnsi="Arial"/>
                <w:color w:val="000000"/>
                <w:sz w:val="16"/>
              </w:rPr>
              <w:t>No interview notes, time measurements or supervisor review have been supplied. A YouTrack project now tracks 15 open tasks; no claim is made that the remaining evidence exists.</w:t>
            </w:r>
          </w:p>
        </w:tc>
      </w:tr>
    </w:tbl>
    <w:p>
      <w:pPr>
        <w:spacing w:after="0"/>
      </w:pPr>
    </w:p>
    <w:p>
      <w:r>
        <w:t>Interview guide: How are sales and repair requests received now? Which fields are essential? Who assigns workers and changes a visit status? How is completion confirmed? What response time is expected? Which customer data may be retained? What RU/KK terms need approval? Record answers and revise the requirements below; do not treat these questions as answered evidence.</w:t>
      </w:r>
    </w:p>
    <w:p>
      <w:pPr>
        <w:pStyle w:val="Heading1"/>
      </w:pPr>
      <w:r>
        <w:t>3. Literature review</w:t>
      </w:r>
    </w:p>
    <w:p>
      <w:r>
        <w:t>Eleven scholarly works were checked for relevance. The literature informs design choices; it does not verify that Alau Term currently uses or needs a particular workflow. Full bibliographic data and links are in References.</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624"/>
          </w:tcPr>
          <w:p>
            <w:pPr>
              <w:keepNext/>
              <w:spacing w:after="20" w:line="245" w:lineRule="auto"/>
            </w:pPr>
            <w:r>
              <w:rPr>
                <w:rFonts w:ascii="Arial" w:hAnsi="Arial"/>
                <w:b/>
                <w:color w:val="000000"/>
                <w:sz w:val="16"/>
              </w:rPr>
              <w:t>Ref.</w:t>
            </w:r>
          </w:p>
        </w:tc>
        <w:tc>
          <w:tcPr>
            <w:tcW w:type="dxa" w:w="5443"/>
          </w:tcPr>
          <w:p>
            <w:pPr>
              <w:keepNext/>
              <w:spacing w:after="20" w:line="245" w:lineRule="auto"/>
            </w:pPr>
            <w:r>
              <w:rPr>
                <w:rFonts w:ascii="Arial" w:hAnsi="Arial"/>
                <w:b/>
                <w:color w:val="000000"/>
                <w:sz w:val="16"/>
              </w:rPr>
              <w:t>Finding used in this project</w:t>
            </w:r>
          </w:p>
        </w:tc>
        <w:tc>
          <w:tcPr>
            <w:tcW w:type="dxa" w:w="3742"/>
          </w:tcPr>
          <w:p>
            <w:pPr>
              <w:keepNext/>
              <w:spacing w:after="20" w:line="245" w:lineRule="auto"/>
            </w:pPr>
            <w:r>
              <w:rPr>
                <w:rFonts w:ascii="Arial" w:hAnsi="Arial"/>
                <w:b/>
                <w:color w:val="000000"/>
                <w:sz w:val="16"/>
              </w:rPr>
              <w:t>Transfer limit</w:t>
            </w:r>
          </w:p>
        </w:tc>
      </w:tr>
      <w:tr>
        <w:trPr>
          <w:cantSplit/>
        </w:trPr>
        <w:tc>
          <w:tcPr>
            <w:tcW w:type="dxa" w:w="624"/>
            <w:vAlign w:val="top"/>
          </w:tcPr>
          <w:p>
            <w:pPr>
              <w:spacing w:after="20" w:line="245" w:lineRule="auto"/>
            </w:pPr>
            <w:r>
              <w:rPr>
                <w:rFonts w:ascii="Arial" w:hAnsi="Arial"/>
                <w:color w:val="000000"/>
                <w:sz w:val="16"/>
              </w:rPr>
              <w:t>[1]</w:t>
            </w:r>
          </w:p>
        </w:tc>
        <w:tc>
          <w:tcPr>
            <w:tcW w:type="dxa" w:w="5443"/>
            <w:vAlign w:val="top"/>
          </w:tcPr>
          <w:p>
            <w:pPr>
              <w:spacing w:after="20" w:line="245" w:lineRule="auto"/>
            </w:pPr>
            <w:r>
              <w:rPr>
                <w:rFonts w:ascii="Arial" w:hAnsi="Arial"/>
                <w:color w:val="000000"/>
                <w:sz w:val="16"/>
              </w:rPr>
              <w:t>Industrial B2B platforms combine product and service information.</w:t>
            </w:r>
          </w:p>
        </w:tc>
        <w:tc>
          <w:tcPr>
            <w:tcW w:type="dxa" w:w="3742"/>
            <w:vAlign w:val="top"/>
          </w:tcPr>
          <w:p>
            <w:pPr>
              <w:spacing w:after="20" w:line="245" w:lineRule="auto"/>
            </w:pPr>
            <w:r>
              <w:rPr>
                <w:rFonts w:ascii="Arial" w:hAnsi="Arial"/>
                <w:color w:val="000000"/>
                <w:sz w:val="16"/>
              </w:rPr>
              <w:t>Conceptual industrial-marketplace study, not an Alau Term user study.</w:t>
            </w:r>
          </w:p>
        </w:tc>
      </w:tr>
      <w:tr>
        <w:trPr>
          <w:cantSplit/>
        </w:trPr>
        <w:tc>
          <w:tcPr>
            <w:tcW w:type="dxa" w:w="624"/>
            <w:vAlign w:val="top"/>
          </w:tcPr>
          <w:p>
            <w:pPr>
              <w:spacing w:after="20" w:line="245" w:lineRule="auto"/>
            </w:pPr>
            <w:r>
              <w:rPr>
                <w:rFonts w:ascii="Arial" w:hAnsi="Arial"/>
                <w:color w:val="000000"/>
                <w:sz w:val="16"/>
              </w:rPr>
              <w:t>[2]</w:t>
            </w:r>
          </w:p>
        </w:tc>
        <w:tc>
          <w:tcPr>
            <w:tcW w:type="dxa" w:w="5443"/>
            <w:vAlign w:val="top"/>
          </w:tcPr>
          <w:p>
            <w:pPr>
              <w:spacing w:after="20" w:line="245" w:lineRule="auto"/>
            </w:pPr>
            <w:r>
              <w:rPr>
                <w:rFonts w:ascii="Arial" w:hAnsi="Arial"/>
                <w:color w:val="000000"/>
                <w:sz w:val="16"/>
              </w:rPr>
              <w:t>Digital service innovation requires coordinated customer and service processes.</w:t>
            </w:r>
          </w:p>
        </w:tc>
        <w:tc>
          <w:tcPr>
            <w:tcW w:type="dxa" w:w="3742"/>
            <w:vAlign w:val="top"/>
          </w:tcPr>
          <w:p>
            <w:pPr>
              <w:spacing w:after="20" w:line="245" w:lineRule="auto"/>
            </w:pPr>
            <w:r>
              <w:rPr>
                <w:rFonts w:ascii="Arial" w:hAnsi="Arial"/>
                <w:color w:val="000000"/>
                <w:sz w:val="16"/>
              </w:rPr>
              <w:t>Broad servitization context.</w:t>
            </w:r>
          </w:p>
        </w:tc>
      </w:tr>
      <w:tr>
        <w:trPr>
          <w:cantSplit/>
        </w:trPr>
        <w:tc>
          <w:tcPr>
            <w:tcW w:type="dxa" w:w="624"/>
            <w:vAlign w:val="top"/>
          </w:tcPr>
          <w:p>
            <w:pPr>
              <w:spacing w:after="20" w:line="245" w:lineRule="auto"/>
            </w:pPr>
            <w:r>
              <w:rPr>
                <w:rFonts w:ascii="Arial" w:hAnsi="Arial"/>
                <w:color w:val="000000"/>
                <w:sz w:val="16"/>
              </w:rPr>
              <w:t>[3]</w:t>
            </w:r>
          </w:p>
        </w:tc>
        <w:tc>
          <w:tcPr>
            <w:tcW w:type="dxa" w:w="5443"/>
            <w:vAlign w:val="top"/>
          </w:tcPr>
          <w:p>
            <w:pPr>
              <w:spacing w:after="20" w:line="245" w:lineRule="auto"/>
            </w:pPr>
            <w:r>
              <w:rPr>
                <w:rFonts w:ascii="Arial" w:hAnsi="Arial"/>
                <w:color w:val="000000"/>
                <w:sz w:val="16"/>
              </w:rPr>
              <w:t>On-site maintenance links spare parts, visits and uncertain repair demand.</w:t>
            </w:r>
          </w:p>
        </w:tc>
        <w:tc>
          <w:tcPr>
            <w:tcW w:type="dxa" w:w="3742"/>
            <w:vAlign w:val="top"/>
          </w:tcPr>
          <w:p>
            <w:pPr>
              <w:spacing w:after="20" w:line="245" w:lineRule="auto"/>
            </w:pPr>
            <w:r>
              <w:rPr>
                <w:rFonts w:ascii="Arial" w:hAnsi="Arial"/>
                <w:color w:val="000000"/>
                <w:sz w:val="16"/>
              </w:rPr>
              <w:t>Its optimisation model is outside this diploma MVP.</w:t>
            </w:r>
          </w:p>
        </w:tc>
      </w:tr>
      <w:tr>
        <w:trPr>
          <w:cantSplit/>
        </w:trPr>
        <w:tc>
          <w:tcPr>
            <w:tcW w:type="dxa" w:w="624"/>
            <w:vAlign w:val="top"/>
          </w:tcPr>
          <w:p>
            <w:pPr>
              <w:spacing w:after="20" w:line="245" w:lineRule="auto"/>
            </w:pPr>
            <w:r>
              <w:rPr>
                <w:rFonts w:ascii="Arial" w:hAnsi="Arial"/>
                <w:color w:val="000000"/>
                <w:sz w:val="16"/>
              </w:rPr>
              <w:t>[4]</w:t>
            </w:r>
          </w:p>
        </w:tc>
        <w:tc>
          <w:tcPr>
            <w:tcW w:type="dxa" w:w="5443"/>
            <w:vAlign w:val="top"/>
          </w:tcPr>
          <w:p>
            <w:pPr>
              <w:spacing w:after="20" w:line="245" w:lineRule="auto"/>
            </w:pPr>
            <w:r>
              <w:rPr>
                <w:rFonts w:ascii="Arial" w:hAnsi="Arial"/>
                <w:color w:val="000000"/>
                <w:sz w:val="16"/>
              </w:rPr>
              <w:t>Technician scheduling depends on task and worker constraints.</w:t>
            </w:r>
          </w:p>
        </w:tc>
        <w:tc>
          <w:tcPr>
            <w:tcW w:type="dxa" w:w="3742"/>
            <w:vAlign w:val="top"/>
          </w:tcPr>
          <w:p>
            <w:pPr>
              <w:spacing w:after="20" w:line="245" w:lineRule="auto"/>
            </w:pPr>
            <w:r>
              <w:rPr>
                <w:rFonts w:ascii="Arial" w:hAnsi="Arial"/>
                <w:color w:val="000000"/>
                <w:sz w:val="16"/>
              </w:rPr>
              <w:t>Routing algorithm is not proposed for version one.</w:t>
            </w:r>
          </w:p>
        </w:tc>
      </w:tr>
      <w:tr>
        <w:trPr>
          <w:cantSplit/>
        </w:trPr>
        <w:tc>
          <w:tcPr>
            <w:tcW w:type="dxa" w:w="624"/>
            <w:vAlign w:val="top"/>
          </w:tcPr>
          <w:p>
            <w:pPr>
              <w:spacing w:after="20" w:line="245" w:lineRule="auto"/>
            </w:pPr>
            <w:r>
              <w:rPr>
                <w:rFonts w:ascii="Arial" w:hAnsi="Arial"/>
                <w:color w:val="000000"/>
                <w:sz w:val="16"/>
              </w:rPr>
              <w:t>[5]</w:t>
            </w:r>
          </w:p>
        </w:tc>
        <w:tc>
          <w:tcPr>
            <w:tcW w:type="dxa" w:w="5443"/>
            <w:vAlign w:val="top"/>
          </w:tcPr>
          <w:p>
            <w:pPr>
              <w:spacing w:after="20" w:line="245" w:lineRule="auto"/>
            </w:pPr>
            <w:r>
              <w:rPr>
                <w:rFonts w:ascii="Arial" w:hAnsi="Arial"/>
                <w:color w:val="000000"/>
                <w:sz w:val="16"/>
              </w:rPr>
              <w:t>SME service digitalisation has organisational as well as technical drivers.</w:t>
            </w:r>
          </w:p>
        </w:tc>
        <w:tc>
          <w:tcPr>
            <w:tcW w:type="dxa" w:w="3742"/>
            <w:vAlign w:val="top"/>
          </w:tcPr>
          <w:p>
            <w:pPr>
              <w:spacing w:after="20" w:line="245" w:lineRule="auto"/>
            </w:pPr>
            <w:r>
              <w:rPr>
                <w:rFonts w:ascii="Arial" w:hAnsi="Arial"/>
                <w:color w:val="000000"/>
                <w:sz w:val="16"/>
              </w:rPr>
              <w:t>Cross-sector evidence, not a local baseline.</w:t>
            </w:r>
          </w:p>
        </w:tc>
      </w:tr>
      <w:tr>
        <w:trPr>
          <w:cantSplit/>
        </w:trPr>
        <w:tc>
          <w:tcPr>
            <w:tcW w:type="dxa" w:w="624"/>
            <w:vAlign w:val="top"/>
          </w:tcPr>
          <w:p>
            <w:pPr>
              <w:spacing w:after="20" w:line="245" w:lineRule="auto"/>
            </w:pPr>
            <w:r>
              <w:rPr>
                <w:rFonts w:ascii="Arial" w:hAnsi="Arial"/>
                <w:color w:val="000000"/>
                <w:sz w:val="16"/>
              </w:rPr>
              <w:t>[6]</w:t>
            </w:r>
          </w:p>
        </w:tc>
        <w:tc>
          <w:tcPr>
            <w:tcW w:type="dxa" w:w="5443"/>
            <w:vAlign w:val="top"/>
          </w:tcPr>
          <w:p>
            <w:pPr>
              <w:spacing w:after="20" w:line="245" w:lineRule="auto"/>
            </w:pPr>
            <w:r>
              <w:rPr>
                <w:rFonts w:ascii="Arial" w:hAnsi="Arial"/>
                <w:color w:val="000000"/>
                <w:sz w:val="16"/>
              </w:rPr>
              <w:t>SME customer-service tools can be evaluated through effects and adoption conditions.</w:t>
            </w:r>
          </w:p>
        </w:tc>
        <w:tc>
          <w:tcPr>
            <w:tcW w:type="dxa" w:w="3742"/>
            <w:vAlign w:val="top"/>
          </w:tcPr>
          <w:p>
            <w:pPr>
              <w:spacing w:after="20" w:line="245" w:lineRule="auto"/>
            </w:pPr>
            <w:r>
              <w:rPr>
                <w:rFonts w:ascii="Arial" w:hAnsi="Arial"/>
                <w:color w:val="000000"/>
                <w:sz w:val="16"/>
              </w:rPr>
              <w:t>Polish sample; local validation needed.</w:t>
            </w:r>
          </w:p>
        </w:tc>
      </w:tr>
      <w:tr>
        <w:trPr>
          <w:cantSplit/>
        </w:trPr>
        <w:tc>
          <w:tcPr>
            <w:tcW w:type="dxa" w:w="624"/>
            <w:vAlign w:val="top"/>
          </w:tcPr>
          <w:p>
            <w:pPr>
              <w:spacing w:after="20" w:line="245" w:lineRule="auto"/>
            </w:pPr>
            <w:r>
              <w:rPr>
                <w:rFonts w:ascii="Arial" w:hAnsi="Arial"/>
                <w:color w:val="000000"/>
                <w:sz w:val="16"/>
              </w:rPr>
              <w:t>[7]</w:t>
            </w:r>
          </w:p>
        </w:tc>
        <w:tc>
          <w:tcPr>
            <w:tcW w:type="dxa" w:w="5443"/>
            <w:vAlign w:val="top"/>
          </w:tcPr>
          <w:p>
            <w:pPr>
              <w:spacing w:after="20" w:line="245" w:lineRule="auto"/>
            </w:pPr>
            <w:r>
              <w:rPr>
                <w:rFonts w:ascii="Arial" w:hAnsi="Arial"/>
                <w:color w:val="000000"/>
                <w:sz w:val="16"/>
              </w:rPr>
              <w:t>Usability and trust affect shopping-site satisfaction.</w:t>
            </w:r>
          </w:p>
        </w:tc>
        <w:tc>
          <w:tcPr>
            <w:tcW w:type="dxa" w:w="3742"/>
            <w:vAlign w:val="top"/>
          </w:tcPr>
          <w:p>
            <w:pPr>
              <w:spacing w:after="20" w:line="245" w:lineRule="auto"/>
            </w:pPr>
            <w:r>
              <w:rPr>
                <w:rFonts w:ascii="Arial" w:hAnsi="Arial"/>
                <w:color w:val="000000"/>
                <w:sz w:val="16"/>
              </w:rPr>
              <w:t>Public-site insight, mainly consumer commerce.</w:t>
            </w:r>
          </w:p>
        </w:tc>
      </w:tr>
      <w:tr>
        <w:trPr>
          <w:cantSplit/>
        </w:trPr>
        <w:tc>
          <w:tcPr>
            <w:tcW w:type="dxa" w:w="624"/>
            <w:vAlign w:val="top"/>
          </w:tcPr>
          <w:p>
            <w:pPr>
              <w:spacing w:after="20" w:line="245" w:lineRule="auto"/>
            </w:pPr>
            <w:r>
              <w:rPr>
                <w:rFonts w:ascii="Arial" w:hAnsi="Arial"/>
                <w:color w:val="000000"/>
                <w:sz w:val="16"/>
              </w:rPr>
              <w:t>[8]</w:t>
            </w:r>
          </w:p>
        </w:tc>
        <w:tc>
          <w:tcPr>
            <w:tcW w:type="dxa" w:w="5443"/>
            <w:vAlign w:val="top"/>
          </w:tcPr>
          <w:p>
            <w:pPr>
              <w:spacing w:after="20" w:line="245" w:lineRule="auto"/>
            </w:pPr>
            <w:r>
              <w:rPr>
                <w:rFonts w:ascii="Arial" w:hAnsi="Arial"/>
                <w:color w:val="000000"/>
                <w:sz w:val="16"/>
              </w:rPr>
              <w:t>Behavioural measurements can support web-interface evaluation.</w:t>
            </w:r>
          </w:p>
        </w:tc>
        <w:tc>
          <w:tcPr>
            <w:tcW w:type="dxa" w:w="3742"/>
            <w:vAlign w:val="top"/>
          </w:tcPr>
          <w:p>
            <w:pPr>
              <w:spacing w:after="20" w:line="245" w:lineRule="auto"/>
            </w:pPr>
            <w:r>
              <w:rPr>
                <w:rFonts w:ascii="Arial" w:hAnsi="Arial"/>
                <w:color w:val="000000"/>
                <w:sz w:val="16"/>
              </w:rPr>
              <w:t>Different application setting.</w:t>
            </w:r>
          </w:p>
        </w:tc>
      </w:tr>
      <w:tr>
        <w:trPr>
          <w:cantSplit/>
        </w:trPr>
        <w:tc>
          <w:tcPr>
            <w:tcW w:type="dxa" w:w="624"/>
            <w:vAlign w:val="top"/>
          </w:tcPr>
          <w:p>
            <w:pPr>
              <w:spacing w:after="20" w:line="245" w:lineRule="auto"/>
            </w:pPr>
            <w:r>
              <w:rPr>
                <w:rFonts w:ascii="Arial" w:hAnsi="Arial"/>
                <w:color w:val="000000"/>
                <w:sz w:val="16"/>
              </w:rPr>
              <w:t>[9]</w:t>
            </w:r>
          </w:p>
        </w:tc>
        <w:tc>
          <w:tcPr>
            <w:tcW w:type="dxa" w:w="5443"/>
            <w:vAlign w:val="top"/>
          </w:tcPr>
          <w:p>
            <w:pPr>
              <w:spacing w:after="20" w:line="245" w:lineRule="auto"/>
            </w:pPr>
            <w:r>
              <w:rPr>
                <w:rFonts w:ascii="Arial" w:hAnsi="Arial"/>
                <w:color w:val="000000"/>
                <w:sz w:val="16"/>
              </w:rPr>
              <w:t>Accessibility techniques should be assessed systematically.</w:t>
            </w:r>
          </w:p>
        </w:tc>
        <w:tc>
          <w:tcPr>
            <w:tcW w:type="dxa" w:w="3742"/>
            <w:vAlign w:val="top"/>
          </w:tcPr>
          <w:p>
            <w:pPr>
              <w:spacing w:after="20" w:line="245" w:lineRule="auto"/>
            </w:pPr>
            <w:r>
              <w:rPr>
                <w:rFonts w:ascii="Arial" w:hAnsi="Arial"/>
                <w:color w:val="000000"/>
                <w:sz w:val="16"/>
              </w:rPr>
              <w:t>Review paper, not an audit of our screens.</w:t>
            </w:r>
          </w:p>
        </w:tc>
      </w:tr>
      <w:tr>
        <w:trPr>
          <w:cantSplit/>
        </w:trPr>
        <w:tc>
          <w:tcPr>
            <w:tcW w:type="dxa" w:w="624"/>
            <w:vAlign w:val="top"/>
          </w:tcPr>
          <w:p>
            <w:pPr>
              <w:spacing w:after="20" w:line="245" w:lineRule="auto"/>
            </w:pPr>
            <w:r>
              <w:rPr>
                <w:rFonts w:ascii="Arial" w:hAnsi="Arial"/>
                <w:color w:val="000000"/>
                <w:sz w:val="16"/>
              </w:rPr>
              <w:t>[10]</w:t>
            </w:r>
          </w:p>
        </w:tc>
        <w:tc>
          <w:tcPr>
            <w:tcW w:type="dxa" w:w="5443"/>
            <w:vAlign w:val="top"/>
          </w:tcPr>
          <w:p>
            <w:pPr>
              <w:spacing w:after="20" w:line="245" w:lineRule="auto"/>
            </w:pPr>
            <w:r>
              <w:rPr>
                <w:rFonts w:ascii="Arial" w:hAnsi="Arial"/>
                <w:color w:val="000000"/>
                <w:sz w:val="16"/>
              </w:rPr>
              <w:t>Perceived risk shapes online purchase intent.</w:t>
            </w:r>
          </w:p>
        </w:tc>
        <w:tc>
          <w:tcPr>
            <w:tcW w:type="dxa" w:w="3742"/>
            <w:vAlign w:val="top"/>
          </w:tcPr>
          <w:p>
            <w:pPr>
              <w:spacing w:after="20" w:line="245" w:lineRule="auto"/>
            </w:pPr>
            <w:r>
              <w:rPr>
                <w:rFonts w:ascii="Arial" w:hAnsi="Arial"/>
                <w:color w:val="000000"/>
                <w:sz w:val="16"/>
              </w:rPr>
              <w:t>Consumer purchase context, indirect for service visits.</w:t>
            </w:r>
          </w:p>
        </w:tc>
      </w:tr>
      <w:tr>
        <w:trPr>
          <w:cantSplit/>
        </w:trPr>
        <w:tc>
          <w:tcPr>
            <w:tcW w:type="dxa" w:w="624"/>
            <w:vAlign w:val="top"/>
          </w:tcPr>
          <w:p>
            <w:pPr>
              <w:spacing w:after="20" w:line="245" w:lineRule="auto"/>
            </w:pPr>
            <w:r>
              <w:rPr>
                <w:rFonts w:ascii="Arial" w:hAnsi="Arial"/>
                <w:color w:val="000000"/>
                <w:sz w:val="16"/>
              </w:rPr>
              <w:t>[11]</w:t>
            </w:r>
          </w:p>
        </w:tc>
        <w:tc>
          <w:tcPr>
            <w:tcW w:type="dxa" w:w="5443"/>
            <w:vAlign w:val="top"/>
          </w:tcPr>
          <w:p>
            <w:pPr>
              <w:spacing w:after="20" w:line="245" w:lineRule="auto"/>
            </w:pPr>
            <w:r>
              <w:rPr>
                <w:rFonts w:ascii="Arial" w:hAnsi="Arial"/>
                <w:color w:val="000000"/>
                <w:sz w:val="16"/>
              </w:rPr>
              <w:t>Language choices can affect interaction outcomes.</w:t>
            </w:r>
          </w:p>
        </w:tc>
        <w:tc>
          <w:tcPr>
            <w:tcW w:type="dxa" w:w="3742"/>
            <w:vAlign w:val="top"/>
          </w:tcPr>
          <w:p>
            <w:pPr>
              <w:spacing w:after="20" w:line="245" w:lineRule="auto"/>
            </w:pPr>
            <w:r>
              <w:rPr>
                <w:rFonts w:ascii="Arial" w:hAnsi="Arial"/>
                <w:color w:val="000000"/>
                <w:sz w:val="16"/>
              </w:rPr>
              <w:t>Chatbot experiment; motivates, but does not prove, RU/KK benefit here.</w:t>
            </w:r>
          </w:p>
        </w:tc>
      </w:tr>
    </w:tbl>
    <w:p>
      <w:pPr>
        <w:spacing w:after="0"/>
      </w:pPr>
    </w:p>
    <w:p>
      <w:r>
        <w:t>Design implication: measure task completion on both languages and record the repair hand-off as a traceable sequence. There is no evidence that adding translation or a CRM alone will improve sales or response time; those outcomes must be tested against a local baseline.</w:t>
      </w:r>
    </w:p>
    <w:p>
      <w:pPr>
        <w:pStyle w:val="Heading1"/>
      </w:pPr>
      <w:r>
        <w:t>4. Existing-system review</w:t>
      </w:r>
    </w:p>
    <w:p>
      <w:r>
        <w:t>The first three examples are public supplier websites; their private tools cannot be inspected. Zoho FSM and Salesforce Field Service are workflow benchmarks, not direct local storefront competitors. V = publicly visible or officially documented, U = unverified from public evidence, — = not applicable to the reviewed surface. Criterion definitions are the same for each row.</w:t>
      </w:r>
    </w:p>
    <w:tbl>
      <w:tblPr>
        <w:tblStyle w:val="TableGrid"/>
        <w:tblW w:type="auto" w:w="0"/>
        <w:jc w:val="center"/>
        <w:tblLayout w:type="fixed"/>
        <w:tblLook w:firstColumn="1" w:firstRow="1" w:lastColumn="0" w:lastRow="0" w:noHBand="0" w:noVBand="1" w:val="04A0"/>
      </w:tblPr>
      <w:tblGrid>
        <w:gridCol w:w="1090"/>
        <w:gridCol w:w="1090"/>
        <w:gridCol w:w="1090"/>
        <w:gridCol w:w="1090"/>
        <w:gridCol w:w="1090"/>
        <w:gridCol w:w="1090"/>
        <w:gridCol w:w="1090"/>
        <w:gridCol w:w="1090"/>
        <w:gridCol w:w="1090"/>
      </w:tblGrid>
      <w:tr>
        <w:trPr>
          <w:cantSplit/>
        </w:trPr>
        <w:tc>
          <w:tcPr>
            <w:tcW w:type="dxa" w:w="2778"/>
          </w:tcPr>
          <w:p>
            <w:pPr>
              <w:keepNext/>
              <w:spacing w:after="20" w:line="245" w:lineRule="auto"/>
            </w:pPr>
            <w:r>
              <w:rPr>
                <w:rFonts w:ascii="Arial" w:hAnsi="Arial"/>
                <w:b/>
                <w:color w:val="000000"/>
                <w:sz w:val="16"/>
              </w:rPr>
              <w:t>System / public evidence</w:t>
            </w:r>
          </w:p>
        </w:tc>
        <w:tc>
          <w:tcPr>
            <w:tcW w:type="dxa" w:w="765"/>
          </w:tcPr>
          <w:p>
            <w:pPr>
              <w:keepNext/>
              <w:spacing w:after="20" w:line="245" w:lineRule="auto"/>
            </w:pPr>
            <w:r>
              <w:rPr>
                <w:rFonts w:ascii="Arial" w:hAnsi="Arial"/>
                <w:b/>
                <w:color w:val="000000"/>
                <w:sz w:val="16"/>
              </w:rPr>
              <w:t>Cat.</w:t>
            </w:r>
          </w:p>
        </w:tc>
        <w:tc>
          <w:tcPr>
            <w:tcW w:type="dxa" w:w="765"/>
          </w:tcPr>
          <w:p>
            <w:pPr>
              <w:keepNext/>
              <w:spacing w:after="20" w:line="245" w:lineRule="auto"/>
            </w:pPr>
            <w:r>
              <w:rPr>
                <w:rFonts w:ascii="Arial" w:hAnsi="Arial"/>
                <w:b/>
                <w:color w:val="000000"/>
                <w:sz w:val="16"/>
              </w:rPr>
              <w:t>Svc.</w:t>
            </w:r>
          </w:p>
        </w:tc>
        <w:tc>
          <w:tcPr>
            <w:tcW w:type="dxa" w:w="765"/>
          </w:tcPr>
          <w:p>
            <w:pPr>
              <w:keepNext/>
              <w:spacing w:after="20" w:line="245" w:lineRule="auto"/>
            </w:pPr>
            <w:r>
              <w:rPr>
                <w:rFonts w:ascii="Arial" w:hAnsi="Arial"/>
                <w:b/>
                <w:color w:val="000000"/>
                <w:sz w:val="16"/>
              </w:rPr>
              <w:t>RU/KK</w:t>
            </w:r>
          </w:p>
        </w:tc>
        <w:tc>
          <w:tcPr>
            <w:tcW w:type="dxa" w:w="1020"/>
          </w:tcPr>
          <w:p>
            <w:pPr>
              <w:keepNext/>
              <w:spacing w:after="20" w:line="245" w:lineRule="auto"/>
            </w:pPr>
            <w:r>
              <w:rPr>
                <w:rFonts w:ascii="Arial" w:hAnsi="Arial"/>
                <w:b/>
                <w:color w:val="000000"/>
                <w:sz w:val="16"/>
              </w:rPr>
              <w:t>Web request</w:t>
            </w:r>
          </w:p>
        </w:tc>
        <w:tc>
          <w:tcPr>
            <w:tcW w:type="dxa" w:w="1020"/>
          </w:tcPr>
          <w:p>
            <w:pPr>
              <w:keepNext/>
              <w:spacing w:after="20" w:line="245" w:lineRule="auto"/>
            </w:pPr>
            <w:r>
              <w:rPr>
                <w:rFonts w:ascii="Arial" w:hAnsi="Arial"/>
                <w:b/>
                <w:color w:val="000000"/>
                <w:sz w:val="16"/>
              </w:rPr>
              <w:t>Work order</w:t>
            </w:r>
          </w:p>
        </w:tc>
        <w:tc>
          <w:tcPr>
            <w:tcW w:type="dxa" w:w="822"/>
          </w:tcPr>
          <w:p>
            <w:pPr>
              <w:keepNext/>
              <w:spacing w:after="20" w:line="245" w:lineRule="auto"/>
            </w:pPr>
            <w:r>
              <w:rPr>
                <w:rFonts w:ascii="Arial" w:hAnsi="Arial"/>
                <w:b/>
                <w:color w:val="000000"/>
                <w:sz w:val="16"/>
              </w:rPr>
              <w:t>Assign</w:t>
            </w:r>
          </w:p>
        </w:tc>
        <w:tc>
          <w:tcPr>
            <w:tcW w:type="dxa" w:w="879"/>
          </w:tcPr>
          <w:p>
            <w:pPr>
              <w:keepNext/>
              <w:spacing w:after="20" w:line="245" w:lineRule="auto"/>
            </w:pPr>
            <w:r>
              <w:rPr>
                <w:rFonts w:ascii="Arial" w:hAnsi="Arial"/>
                <w:b/>
                <w:color w:val="000000"/>
                <w:sz w:val="16"/>
              </w:rPr>
              <w:t>Visit status</w:t>
            </w:r>
          </w:p>
        </w:tc>
        <w:tc>
          <w:tcPr>
            <w:tcW w:type="dxa" w:w="879"/>
          </w:tcPr>
          <w:p>
            <w:pPr>
              <w:keepNext/>
              <w:spacing w:after="20" w:line="245" w:lineRule="auto"/>
            </w:pPr>
            <w:r>
              <w:rPr>
                <w:rFonts w:ascii="Arial" w:hAnsi="Arial"/>
                <w:b/>
                <w:color w:val="000000"/>
                <w:sz w:val="16"/>
              </w:rPr>
              <w:t>Roles</w:t>
            </w:r>
          </w:p>
        </w:tc>
      </w:tr>
      <w:tr>
        <w:trPr>
          <w:cantSplit/>
        </w:trPr>
        <w:tc>
          <w:tcPr>
            <w:tcW w:type="dxa" w:w="2778"/>
            <w:vAlign w:val="top"/>
          </w:tcPr>
          <w:p>
            <w:pPr>
              <w:spacing w:after="20" w:line="245" w:lineRule="auto"/>
            </w:pPr>
            <w:r>
              <w:rPr>
                <w:rFonts w:ascii="Arial" w:hAnsi="Arial"/>
                <w:color w:val="000000"/>
                <w:sz w:val="16"/>
              </w:rPr>
              <w:t>Flame Tech [16]</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V</w:t>
            </w:r>
          </w:p>
        </w:tc>
        <w:tc>
          <w:tcPr>
            <w:tcW w:type="dxa" w:w="1020"/>
            <w:vAlign w:val="top"/>
          </w:tcPr>
          <w:p>
            <w:pPr>
              <w:spacing w:after="20" w:line="245" w:lineRule="auto"/>
            </w:pPr>
            <w:r>
              <w:rPr>
                <w:rFonts w:ascii="Arial" w:hAnsi="Arial"/>
                <w:color w:val="000000"/>
                <w:sz w:val="16"/>
              </w:rPr>
              <w:t>U</w:t>
            </w:r>
          </w:p>
        </w:tc>
        <w:tc>
          <w:tcPr>
            <w:tcW w:type="dxa" w:w="822"/>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r>
      <w:tr>
        <w:trPr>
          <w:cantSplit/>
        </w:trPr>
        <w:tc>
          <w:tcPr>
            <w:tcW w:type="dxa" w:w="2778"/>
            <w:vAlign w:val="top"/>
          </w:tcPr>
          <w:p>
            <w:pPr>
              <w:spacing w:after="20" w:line="245" w:lineRule="auto"/>
            </w:pPr>
            <w:r>
              <w:rPr>
                <w:rFonts w:ascii="Arial" w:hAnsi="Arial"/>
                <w:color w:val="000000"/>
                <w:sz w:val="16"/>
              </w:rPr>
              <w:t>EKSTRA / Vector Tepla [17]</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V</w:t>
            </w:r>
          </w:p>
        </w:tc>
        <w:tc>
          <w:tcPr>
            <w:tcW w:type="dxa" w:w="1020"/>
            <w:vAlign w:val="top"/>
          </w:tcPr>
          <w:p>
            <w:pPr>
              <w:spacing w:after="20" w:line="245" w:lineRule="auto"/>
            </w:pPr>
            <w:r>
              <w:rPr>
                <w:rFonts w:ascii="Arial" w:hAnsi="Arial"/>
                <w:color w:val="000000"/>
                <w:sz w:val="16"/>
              </w:rPr>
              <w:t>U</w:t>
            </w:r>
          </w:p>
        </w:tc>
        <w:tc>
          <w:tcPr>
            <w:tcW w:type="dxa" w:w="822"/>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r>
      <w:tr>
        <w:trPr>
          <w:cantSplit/>
        </w:trPr>
        <w:tc>
          <w:tcPr>
            <w:tcW w:type="dxa" w:w="2778"/>
            <w:vAlign w:val="top"/>
          </w:tcPr>
          <w:p>
            <w:pPr>
              <w:spacing w:after="20" w:line="245" w:lineRule="auto"/>
            </w:pPr>
            <w:r>
              <w:rPr>
                <w:rFonts w:ascii="Arial" w:hAnsi="Arial"/>
                <w:color w:val="000000"/>
                <w:sz w:val="16"/>
              </w:rPr>
              <w:t>Teploshop [18]</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U</w:t>
            </w:r>
          </w:p>
        </w:tc>
        <w:tc>
          <w:tcPr>
            <w:tcW w:type="dxa" w:w="765"/>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U</w:t>
            </w:r>
          </w:p>
        </w:tc>
        <w:tc>
          <w:tcPr>
            <w:tcW w:type="dxa" w:w="822"/>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c>
          <w:tcPr>
            <w:tcW w:type="dxa" w:w="879"/>
            <w:vAlign w:val="top"/>
          </w:tcPr>
          <w:p>
            <w:pPr>
              <w:spacing w:after="20" w:line="245" w:lineRule="auto"/>
            </w:pPr>
            <w:r>
              <w:rPr>
                <w:rFonts w:ascii="Arial" w:hAnsi="Arial"/>
                <w:color w:val="000000"/>
                <w:sz w:val="16"/>
              </w:rPr>
              <w:t>U</w:t>
            </w:r>
          </w:p>
        </w:tc>
      </w:tr>
      <w:tr>
        <w:trPr>
          <w:cantSplit/>
        </w:trPr>
        <w:tc>
          <w:tcPr>
            <w:tcW w:type="dxa" w:w="2778"/>
            <w:vAlign w:val="top"/>
          </w:tcPr>
          <w:p>
            <w:pPr>
              <w:spacing w:after="20" w:line="245" w:lineRule="auto"/>
            </w:pPr>
            <w:r>
              <w:rPr>
                <w:rFonts w:ascii="Arial" w:hAnsi="Arial"/>
                <w:color w:val="000000"/>
                <w:sz w:val="16"/>
              </w:rPr>
              <w:t>Zoho FSM [19]</w:t>
            </w:r>
          </w:p>
        </w:tc>
        <w:tc>
          <w:tcPr>
            <w:tcW w:type="dxa" w:w="765"/>
            <w:vAlign w:val="top"/>
          </w:tcPr>
          <w:p>
            <w:pPr>
              <w:spacing w:after="20" w:line="245" w:lineRule="auto"/>
            </w:pPr>
            <w:r>
              <w:rPr>
                <w:rFonts w:ascii="Arial" w:hAnsi="Arial"/>
                <w:color w:val="000000"/>
                <w:sz w:val="16"/>
              </w:rPr>
              <w:t>—</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V</w:t>
            </w:r>
          </w:p>
        </w:tc>
        <w:tc>
          <w:tcPr>
            <w:tcW w:type="dxa" w:w="1020"/>
            <w:vAlign w:val="top"/>
          </w:tcPr>
          <w:p>
            <w:pPr>
              <w:spacing w:after="20" w:line="245" w:lineRule="auto"/>
            </w:pPr>
            <w:r>
              <w:rPr>
                <w:rFonts w:ascii="Arial" w:hAnsi="Arial"/>
                <w:color w:val="000000"/>
                <w:sz w:val="16"/>
              </w:rPr>
              <w:t>V</w:t>
            </w:r>
          </w:p>
        </w:tc>
        <w:tc>
          <w:tcPr>
            <w:tcW w:type="dxa" w:w="822"/>
            <w:vAlign w:val="top"/>
          </w:tcPr>
          <w:p>
            <w:pPr>
              <w:spacing w:after="20" w:line="245" w:lineRule="auto"/>
            </w:pPr>
            <w:r>
              <w:rPr>
                <w:rFonts w:ascii="Arial" w:hAnsi="Arial"/>
                <w:color w:val="000000"/>
                <w:sz w:val="16"/>
              </w:rPr>
              <w:t>V</w:t>
            </w:r>
          </w:p>
        </w:tc>
        <w:tc>
          <w:tcPr>
            <w:tcW w:type="dxa" w:w="879"/>
            <w:vAlign w:val="top"/>
          </w:tcPr>
          <w:p>
            <w:pPr>
              <w:spacing w:after="20" w:line="245" w:lineRule="auto"/>
            </w:pPr>
            <w:r>
              <w:rPr>
                <w:rFonts w:ascii="Arial" w:hAnsi="Arial"/>
                <w:color w:val="000000"/>
                <w:sz w:val="16"/>
              </w:rPr>
              <w:t>V</w:t>
            </w:r>
          </w:p>
        </w:tc>
        <w:tc>
          <w:tcPr>
            <w:tcW w:type="dxa" w:w="879"/>
            <w:vAlign w:val="top"/>
          </w:tcPr>
          <w:p>
            <w:pPr>
              <w:spacing w:after="20" w:line="245" w:lineRule="auto"/>
            </w:pPr>
            <w:r>
              <w:rPr>
                <w:rFonts w:ascii="Arial" w:hAnsi="Arial"/>
                <w:color w:val="000000"/>
                <w:sz w:val="16"/>
              </w:rPr>
              <w:t>V</w:t>
            </w:r>
          </w:p>
        </w:tc>
      </w:tr>
      <w:tr>
        <w:trPr>
          <w:cantSplit/>
        </w:trPr>
        <w:tc>
          <w:tcPr>
            <w:tcW w:type="dxa" w:w="2778"/>
            <w:vAlign w:val="top"/>
          </w:tcPr>
          <w:p>
            <w:pPr>
              <w:spacing w:after="20" w:line="245" w:lineRule="auto"/>
            </w:pPr>
            <w:r>
              <w:rPr>
                <w:rFonts w:ascii="Arial" w:hAnsi="Arial"/>
                <w:color w:val="000000"/>
                <w:sz w:val="16"/>
              </w:rPr>
              <w:t>Salesforce Field Service [20]</w:t>
            </w:r>
          </w:p>
        </w:tc>
        <w:tc>
          <w:tcPr>
            <w:tcW w:type="dxa" w:w="765"/>
            <w:vAlign w:val="top"/>
          </w:tcPr>
          <w:p>
            <w:pPr>
              <w:spacing w:after="20" w:line="245" w:lineRule="auto"/>
            </w:pPr>
            <w:r>
              <w:rPr>
                <w:rFonts w:ascii="Arial" w:hAnsi="Arial"/>
                <w:color w:val="000000"/>
                <w:sz w:val="16"/>
              </w:rPr>
              <w:t>—</w:t>
            </w:r>
          </w:p>
        </w:tc>
        <w:tc>
          <w:tcPr>
            <w:tcW w:type="dxa" w:w="765"/>
            <w:vAlign w:val="top"/>
          </w:tcPr>
          <w:p>
            <w:pPr>
              <w:spacing w:after="20" w:line="245" w:lineRule="auto"/>
            </w:pPr>
            <w:r>
              <w:rPr>
                <w:rFonts w:ascii="Arial" w:hAnsi="Arial"/>
                <w:color w:val="000000"/>
                <w:sz w:val="16"/>
              </w:rPr>
              <w:t>V</w:t>
            </w:r>
          </w:p>
        </w:tc>
        <w:tc>
          <w:tcPr>
            <w:tcW w:type="dxa" w:w="765"/>
            <w:vAlign w:val="top"/>
          </w:tcPr>
          <w:p>
            <w:pPr>
              <w:spacing w:after="20" w:line="245" w:lineRule="auto"/>
            </w:pPr>
            <w:r>
              <w:rPr>
                <w:rFonts w:ascii="Arial" w:hAnsi="Arial"/>
                <w:color w:val="000000"/>
                <w:sz w:val="16"/>
              </w:rPr>
              <w:t>U</w:t>
            </w:r>
          </w:p>
        </w:tc>
        <w:tc>
          <w:tcPr>
            <w:tcW w:type="dxa" w:w="1020"/>
            <w:vAlign w:val="top"/>
          </w:tcPr>
          <w:p>
            <w:pPr>
              <w:spacing w:after="20" w:line="245" w:lineRule="auto"/>
            </w:pPr>
            <w:r>
              <w:rPr>
                <w:rFonts w:ascii="Arial" w:hAnsi="Arial"/>
                <w:color w:val="000000"/>
                <w:sz w:val="16"/>
              </w:rPr>
              <w:t>V</w:t>
            </w:r>
          </w:p>
        </w:tc>
        <w:tc>
          <w:tcPr>
            <w:tcW w:type="dxa" w:w="1020"/>
            <w:vAlign w:val="top"/>
          </w:tcPr>
          <w:p>
            <w:pPr>
              <w:spacing w:after="20" w:line="245" w:lineRule="auto"/>
            </w:pPr>
            <w:r>
              <w:rPr>
                <w:rFonts w:ascii="Arial" w:hAnsi="Arial"/>
                <w:color w:val="000000"/>
                <w:sz w:val="16"/>
              </w:rPr>
              <w:t>V</w:t>
            </w:r>
          </w:p>
        </w:tc>
        <w:tc>
          <w:tcPr>
            <w:tcW w:type="dxa" w:w="822"/>
            <w:vAlign w:val="top"/>
          </w:tcPr>
          <w:p>
            <w:pPr>
              <w:spacing w:after="20" w:line="245" w:lineRule="auto"/>
            </w:pPr>
            <w:r>
              <w:rPr>
                <w:rFonts w:ascii="Arial" w:hAnsi="Arial"/>
                <w:color w:val="000000"/>
                <w:sz w:val="16"/>
              </w:rPr>
              <w:t>V</w:t>
            </w:r>
          </w:p>
        </w:tc>
        <w:tc>
          <w:tcPr>
            <w:tcW w:type="dxa" w:w="879"/>
            <w:vAlign w:val="top"/>
          </w:tcPr>
          <w:p>
            <w:pPr>
              <w:spacing w:after="20" w:line="245" w:lineRule="auto"/>
            </w:pPr>
            <w:r>
              <w:rPr>
                <w:rFonts w:ascii="Arial" w:hAnsi="Arial"/>
                <w:color w:val="000000"/>
                <w:sz w:val="16"/>
              </w:rPr>
              <w:t>V</w:t>
            </w:r>
          </w:p>
        </w:tc>
        <w:tc>
          <w:tcPr>
            <w:tcW w:type="dxa" w:w="879"/>
            <w:vAlign w:val="top"/>
          </w:tcPr>
          <w:p>
            <w:pPr>
              <w:spacing w:after="20" w:line="245" w:lineRule="auto"/>
            </w:pPr>
            <w:r>
              <w:rPr>
                <w:rFonts w:ascii="Arial" w:hAnsi="Arial"/>
                <w:color w:val="000000"/>
                <w:sz w:val="16"/>
              </w:rPr>
              <w:t>V</w:t>
            </w:r>
          </w:p>
        </w:tc>
      </w:tr>
      <w:tr>
        <w:trPr>
          <w:cantSplit/>
        </w:trPr>
        <w:tc>
          <w:tcPr>
            <w:tcW w:type="dxa" w:w="2778"/>
            <w:vAlign w:val="top"/>
          </w:tcPr>
          <w:p>
            <w:pPr>
              <w:spacing w:after="20" w:line="245" w:lineRule="auto"/>
            </w:pPr>
            <w:r>
              <w:rPr>
                <w:rFonts w:ascii="Arial" w:hAnsi="Arial"/>
                <w:color w:val="000000"/>
                <w:sz w:val="16"/>
              </w:rPr>
              <w:t>Alau Term target</w:t>
            </w:r>
          </w:p>
        </w:tc>
        <w:tc>
          <w:tcPr>
            <w:tcW w:type="dxa" w:w="765"/>
            <w:vAlign w:val="top"/>
          </w:tcPr>
          <w:p>
            <w:pPr>
              <w:spacing w:after="20" w:line="245" w:lineRule="auto"/>
            </w:pPr>
            <w:r>
              <w:rPr>
                <w:rFonts w:ascii="Arial" w:hAnsi="Arial"/>
                <w:color w:val="000000"/>
                <w:sz w:val="16"/>
              </w:rPr>
              <w:t>Planned</w:t>
            </w:r>
          </w:p>
        </w:tc>
        <w:tc>
          <w:tcPr>
            <w:tcW w:type="dxa" w:w="765"/>
            <w:vAlign w:val="top"/>
          </w:tcPr>
          <w:p>
            <w:pPr>
              <w:spacing w:after="20" w:line="245" w:lineRule="auto"/>
            </w:pPr>
            <w:r>
              <w:rPr>
                <w:rFonts w:ascii="Arial" w:hAnsi="Arial"/>
                <w:color w:val="000000"/>
                <w:sz w:val="16"/>
              </w:rPr>
              <w:t>Planned</w:t>
            </w:r>
          </w:p>
        </w:tc>
        <w:tc>
          <w:tcPr>
            <w:tcW w:type="dxa" w:w="765"/>
            <w:vAlign w:val="top"/>
          </w:tcPr>
          <w:p>
            <w:pPr>
              <w:spacing w:after="20" w:line="245" w:lineRule="auto"/>
            </w:pPr>
            <w:r>
              <w:rPr>
                <w:rFonts w:ascii="Arial" w:hAnsi="Arial"/>
                <w:color w:val="000000"/>
                <w:sz w:val="16"/>
              </w:rPr>
              <w:t>Planned</w:t>
            </w:r>
          </w:p>
        </w:tc>
        <w:tc>
          <w:tcPr>
            <w:tcW w:type="dxa" w:w="1020"/>
            <w:vAlign w:val="top"/>
          </w:tcPr>
          <w:p>
            <w:pPr>
              <w:spacing w:after="20" w:line="245" w:lineRule="auto"/>
            </w:pPr>
            <w:r>
              <w:rPr>
                <w:rFonts w:ascii="Arial" w:hAnsi="Arial"/>
                <w:color w:val="000000"/>
                <w:sz w:val="16"/>
              </w:rPr>
              <w:t>Planned</w:t>
            </w:r>
          </w:p>
        </w:tc>
        <w:tc>
          <w:tcPr>
            <w:tcW w:type="dxa" w:w="1020"/>
            <w:vAlign w:val="top"/>
          </w:tcPr>
          <w:p>
            <w:pPr>
              <w:spacing w:after="20" w:line="245" w:lineRule="auto"/>
            </w:pPr>
            <w:r>
              <w:rPr>
                <w:rFonts w:ascii="Arial" w:hAnsi="Arial"/>
                <w:color w:val="000000"/>
                <w:sz w:val="16"/>
              </w:rPr>
              <w:t>Planned</w:t>
            </w:r>
          </w:p>
        </w:tc>
        <w:tc>
          <w:tcPr>
            <w:tcW w:type="dxa" w:w="822"/>
            <w:vAlign w:val="top"/>
          </w:tcPr>
          <w:p>
            <w:pPr>
              <w:spacing w:after="20" w:line="245" w:lineRule="auto"/>
            </w:pPr>
            <w:r>
              <w:rPr>
                <w:rFonts w:ascii="Arial" w:hAnsi="Arial"/>
                <w:color w:val="000000"/>
                <w:sz w:val="16"/>
              </w:rPr>
              <w:t>Planned</w:t>
            </w:r>
          </w:p>
        </w:tc>
        <w:tc>
          <w:tcPr>
            <w:tcW w:type="dxa" w:w="879"/>
            <w:vAlign w:val="top"/>
          </w:tcPr>
          <w:p>
            <w:pPr>
              <w:spacing w:after="20" w:line="245" w:lineRule="auto"/>
            </w:pPr>
            <w:r>
              <w:rPr>
                <w:rFonts w:ascii="Arial" w:hAnsi="Arial"/>
                <w:color w:val="000000"/>
                <w:sz w:val="16"/>
              </w:rPr>
              <w:t>Planned</w:t>
            </w:r>
          </w:p>
        </w:tc>
        <w:tc>
          <w:tcPr>
            <w:tcW w:type="dxa" w:w="879"/>
            <w:vAlign w:val="top"/>
          </w:tcPr>
          <w:p>
            <w:pPr>
              <w:spacing w:after="20" w:line="245" w:lineRule="auto"/>
            </w:pPr>
            <w:r>
              <w:rPr>
                <w:rFonts w:ascii="Arial" w:hAnsi="Arial"/>
                <w:color w:val="000000"/>
                <w:sz w:val="16"/>
              </w:rPr>
              <w:t>Planned</w:t>
            </w:r>
          </w:p>
        </w:tc>
      </w:tr>
    </w:tbl>
    <w:p>
      <w:pPr>
        <w:spacing w:after="0"/>
      </w:pPr>
    </w:p>
    <w:p>
      <w:r>
        <w:t>Criteria: Cat. = public product catalogue; Svc. = public service description or service workflow; RU/KK = confirmed two-language interface; Web request = online contact/intake; Work order = internal repair record; Assign = worker assignment; Visit status = recorded visit progress; Roles = restricted staff permissions. A U value does not mean the feature is absent. This comparison supports integrating the public entry point with the internal process rather than claiming a novel CRM feature.</w:t>
      </w:r>
    </w:p>
    <w:p>
      <w:pPr>
        <w:pStyle w:val="Heading1"/>
      </w:pPr>
      <w:r>
        <w:t>5. Technical decisions and alternatives</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1871"/>
          </w:tcPr>
          <w:p>
            <w:pPr>
              <w:keepNext/>
              <w:spacing w:after="20" w:line="245" w:lineRule="auto"/>
            </w:pPr>
            <w:r>
              <w:rPr>
                <w:rFonts w:ascii="Arial" w:hAnsi="Arial"/>
                <w:b/>
                <w:color w:val="000000"/>
                <w:sz w:val="16"/>
              </w:rPr>
              <w:t>Decision</w:t>
            </w:r>
          </w:p>
        </w:tc>
        <w:tc>
          <w:tcPr>
            <w:tcW w:type="dxa" w:w="2098"/>
          </w:tcPr>
          <w:p>
            <w:pPr>
              <w:keepNext/>
              <w:spacing w:after="20" w:line="245" w:lineRule="auto"/>
            </w:pPr>
            <w:r>
              <w:rPr>
                <w:rFonts w:ascii="Arial" w:hAnsi="Arial"/>
                <w:b/>
                <w:color w:val="000000"/>
                <w:sz w:val="16"/>
              </w:rPr>
              <w:t>Alternatives considered</w:t>
            </w:r>
          </w:p>
        </w:tc>
        <w:tc>
          <w:tcPr>
            <w:tcW w:type="dxa" w:w="5839"/>
          </w:tcPr>
          <w:p>
            <w:pPr>
              <w:keepNext/>
              <w:spacing w:after="20" w:line="245" w:lineRule="auto"/>
            </w:pPr>
            <w:r>
              <w:rPr>
                <w:rFonts w:ascii="Arial" w:hAnsi="Arial"/>
                <w:b/>
                <w:color w:val="000000"/>
                <w:sz w:val="16"/>
              </w:rPr>
              <w:t>Reason and condition</w:t>
            </w:r>
          </w:p>
        </w:tc>
      </w:tr>
      <w:tr>
        <w:trPr>
          <w:cantSplit/>
        </w:trPr>
        <w:tc>
          <w:tcPr>
            <w:tcW w:type="dxa" w:w="1871"/>
            <w:vAlign w:val="top"/>
          </w:tcPr>
          <w:p>
            <w:pPr>
              <w:spacing w:after="20" w:line="245" w:lineRule="auto"/>
            </w:pPr>
            <w:r>
              <w:rPr>
                <w:rFonts w:ascii="Arial" w:hAnsi="Arial"/>
                <w:color w:val="000000"/>
                <w:sz w:val="16"/>
              </w:rPr>
              <w:t>Application: Django (proposed)</w:t>
            </w:r>
          </w:p>
        </w:tc>
        <w:tc>
          <w:tcPr>
            <w:tcW w:type="dxa" w:w="2098"/>
            <w:vAlign w:val="top"/>
          </w:tcPr>
          <w:p>
            <w:pPr>
              <w:spacing w:after="20" w:line="245" w:lineRule="auto"/>
            </w:pPr>
            <w:r>
              <w:rPr>
                <w:rFonts w:ascii="Arial" w:hAnsi="Arial"/>
                <w:color w:val="000000"/>
                <w:sz w:val="16"/>
              </w:rPr>
              <w:t>FastAPI; Express</w:t>
            </w:r>
          </w:p>
        </w:tc>
        <w:tc>
          <w:tcPr>
            <w:tcW w:type="dxa" w:w="5839"/>
            <w:vAlign w:val="top"/>
          </w:tcPr>
          <w:p>
            <w:pPr>
              <w:spacing w:after="20" w:line="245" w:lineRule="auto"/>
            </w:pPr>
            <w:r>
              <w:rPr>
                <w:rFonts w:ascii="Arial" w:hAnsi="Arial"/>
                <w:color w:val="000000"/>
                <w:sz w:val="16"/>
              </w:rPr>
              <w:t>Django offers forms, authentication, admin tools and localisation in one framework [13]. FastAPI is suitable for an API-first split; Express gives flexibility but requires more assembly. Choose Django if the team keeps a server-rendered first version.</w:t>
            </w:r>
          </w:p>
        </w:tc>
      </w:tr>
      <w:tr>
        <w:trPr>
          <w:cantSplit/>
        </w:trPr>
        <w:tc>
          <w:tcPr>
            <w:tcW w:type="dxa" w:w="1871"/>
            <w:vAlign w:val="top"/>
          </w:tcPr>
          <w:p>
            <w:pPr>
              <w:spacing w:after="20" w:line="245" w:lineRule="auto"/>
            </w:pPr>
            <w:r>
              <w:rPr>
                <w:rFonts w:ascii="Arial" w:hAnsi="Arial"/>
                <w:color w:val="000000"/>
                <w:sz w:val="16"/>
              </w:rPr>
              <w:t>Data: PostgreSQL (proposed)</w:t>
            </w:r>
          </w:p>
        </w:tc>
        <w:tc>
          <w:tcPr>
            <w:tcW w:type="dxa" w:w="2098"/>
            <w:vAlign w:val="top"/>
          </w:tcPr>
          <w:p>
            <w:pPr>
              <w:spacing w:after="20" w:line="245" w:lineRule="auto"/>
            </w:pPr>
            <w:r>
              <w:rPr>
                <w:rFonts w:ascii="Arial" w:hAnsi="Arial"/>
                <w:color w:val="000000"/>
                <w:sz w:val="16"/>
              </w:rPr>
              <w:t>SQLite; MongoDB</w:t>
            </w:r>
          </w:p>
        </w:tc>
        <w:tc>
          <w:tcPr>
            <w:tcW w:type="dxa" w:w="5839"/>
            <w:vAlign w:val="top"/>
          </w:tcPr>
          <w:p>
            <w:pPr>
              <w:spacing w:after="20" w:line="245" w:lineRule="auto"/>
            </w:pPr>
            <w:r>
              <w:rPr>
                <w:rFonts w:ascii="Arial" w:hAnsi="Arial"/>
                <w:color w:val="000000"/>
                <w:sz w:val="16"/>
              </w:rPr>
              <w:t>Relational constraints and transactions fit leads, cases, assignments and status events [14]. SQLite is simpler locally but weaker for concurrent staff use. MongoDB is flexible but gives fewer natural relational safeguards.</w:t>
            </w:r>
          </w:p>
        </w:tc>
      </w:tr>
      <w:tr>
        <w:trPr>
          <w:cantSplit/>
        </w:trPr>
        <w:tc>
          <w:tcPr>
            <w:tcW w:type="dxa" w:w="1871"/>
            <w:vAlign w:val="top"/>
          </w:tcPr>
          <w:p>
            <w:pPr>
              <w:spacing w:after="20" w:line="245" w:lineRule="auto"/>
            </w:pPr>
            <w:r>
              <w:rPr>
                <w:rFonts w:ascii="Arial" w:hAnsi="Arial"/>
                <w:color w:val="000000"/>
                <w:sz w:val="16"/>
              </w:rPr>
              <w:t>UI: server-rendered templates (proposed)</w:t>
            </w:r>
          </w:p>
        </w:tc>
        <w:tc>
          <w:tcPr>
            <w:tcW w:type="dxa" w:w="2098"/>
            <w:vAlign w:val="top"/>
          </w:tcPr>
          <w:p>
            <w:pPr>
              <w:spacing w:after="20" w:line="245" w:lineRule="auto"/>
            </w:pPr>
            <w:r>
              <w:rPr>
                <w:rFonts w:ascii="Arial" w:hAnsi="Arial"/>
                <w:color w:val="000000"/>
                <w:sz w:val="16"/>
              </w:rPr>
              <w:t>React SPA; static-only HTML</w:t>
            </w:r>
          </w:p>
        </w:tc>
        <w:tc>
          <w:tcPr>
            <w:tcW w:type="dxa" w:w="5839"/>
            <w:vAlign w:val="top"/>
          </w:tcPr>
          <w:p>
            <w:pPr>
              <w:spacing w:after="20" w:line="245" w:lineRule="auto"/>
            </w:pPr>
            <w:r>
              <w:rPr>
                <w:rFonts w:ascii="Arial" w:hAnsi="Arial"/>
                <w:color w:val="000000"/>
                <w:sz w:val="16"/>
              </w:rPr>
              <w:t>Templates reduce integration work for a two-person team. React offers richer client interaction but adds a separate application. A static archive alone cannot persist requests or support staff roles.</w:t>
            </w:r>
          </w:p>
        </w:tc>
      </w:tr>
      <w:tr>
        <w:trPr>
          <w:cantSplit/>
        </w:trPr>
        <w:tc>
          <w:tcPr>
            <w:tcW w:type="dxa" w:w="1871"/>
            <w:vAlign w:val="top"/>
          </w:tcPr>
          <w:p>
            <w:pPr>
              <w:spacing w:after="20" w:line="245" w:lineRule="auto"/>
            </w:pPr>
            <w:r>
              <w:rPr>
                <w:rFonts w:ascii="Arial" w:hAnsi="Arial"/>
                <w:color w:val="000000"/>
                <w:sz w:val="16"/>
              </w:rPr>
              <w:t>Tracking: append-only status events (proposed)</w:t>
            </w:r>
          </w:p>
        </w:tc>
        <w:tc>
          <w:tcPr>
            <w:tcW w:type="dxa" w:w="2098"/>
            <w:vAlign w:val="top"/>
          </w:tcPr>
          <w:p>
            <w:pPr>
              <w:spacing w:after="20" w:line="245" w:lineRule="auto"/>
            </w:pPr>
            <w:r>
              <w:rPr>
                <w:rFonts w:ascii="Arial" w:hAnsi="Arial"/>
                <w:color w:val="000000"/>
                <w:sz w:val="16"/>
              </w:rPr>
              <w:t>Overwrite current status; external FSM</w:t>
            </w:r>
          </w:p>
        </w:tc>
        <w:tc>
          <w:tcPr>
            <w:tcW w:type="dxa" w:w="5839"/>
            <w:vAlign w:val="top"/>
          </w:tcPr>
          <w:p>
            <w:pPr>
              <w:spacing w:after="20" w:line="245" w:lineRule="auto"/>
            </w:pPr>
            <w:r>
              <w:rPr>
                <w:rFonts w:ascii="Arial" w:hAnsi="Arial"/>
                <w:color w:val="000000"/>
                <w:sz w:val="16"/>
              </w:rPr>
              <w:t>An event log keeps actor/time and supports review. A single mutable status loses the path. An external FSM adds dependency/cost and may not match the diploma scope.</w:t>
            </w:r>
          </w:p>
        </w:tc>
      </w:tr>
    </w:tbl>
    <w:p>
      <w:pPr>
        <w:spacing w:after="0"/>
      </w:pPr>
    </w:p>
    <w:p>
      <w:r>
        <w:t>These are design choices, not claims of completed implementation. Final stack and hosting will be recorded in the repository after a working prototype is built.</w:t>
      </w:r>
    </w:p>
    <w:p>
      <w:pPr>
        <w:pStyle w:val="Heading1"/>
      </w:pPr>
      <w:r>
        <w:t>6. Requirements, priorities and acceptance</w:t>
      </w:r>
    </w:p>
    <w:p>
      <w:r>
        <w:t>Priority scale: P1 = required for the first working demonstration; P2 = useful if P1 is stable. Each requirement has an observable acceptance check. Customer and staff details below are proposed and require company confirmation.</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822"/>
          </w:tcPr>
          <w:p>
            <w:pPr>
              <w:keepNext/>
              <w:spacing w:after="20" w:line="245" w:lineRule="auto"/>
            </w:pPr>
            <w:r>
              <w:rPr>
                <w:rFonts w:ascii="Arial" w:hAnsi="Arial"/>
                <w:b/>
                <w:color w:val="000000"/>
                <w:sz w:val="16"/>
              </w:rPr>
              <w:t>ID / priority</w:t>
            </w:r>
          </w:p>
        </w:tc>
        <w:tc>
          <w:tcPr>
            <w:tcW w:type="dxa" w:w="4337"/>
          </w:tcPr>
          <w:p>
            <w:pPr>
              <w:keepNext/>
              <w:spacing w:after="20" w:line="245" w:lineRule="auto"/>
            </w:pPr>
            <w:r>
              <w:rPr>
                <w:rFonts w:ascii="Arial" w:hAnsi="Arial"/>
                <w:b/>
                <w:color w:val="000000"/>
                <w:sz w:val="16"/>
              </w:rPr>
              <w:t>Functional requirement</w:t>
            </w:r>
          </w:p>
        </w:tc>
        <w:tc>
          <w:tcPr>
            <w:tcW w:type="dxa" w:w="4649"/>
          </w:tcPr>
          <w:p>
            <w:pPr>
              <w:keepNext/>
              <w:spacing w:after="20" w:line="245" w:lineRule="auto"/>
            </w:pPr>
            <w:r>
              <w:rPr>
                <w:rFonts w:ascii="Arial" w:hAnsi="Arial"/>
                <w:b/>
                <w:color w:val="000000"/>
                <w:sz w:val="16"/>
              </w:rPr>
              <w:t>Acceptance check</w:t>
            </w:r>
          </w:p>
        </w:tc>
      </w:tr>
      <w:tr>
        <w:trPr>
          <w:cantSplit/>
        </w:trPr>
        <w:tc>
          <w:tcPr>
            <w:tcW w:type="dxa" w:w="822"/>
            <w:vAlign w:val="top"/>
          </w:tcPr>
          <w:p>
            <w:pPr>
              <w:spacing w:after="20" w:line="245" w:lineRule="auto"/>
            </w:pPr>
            <w:r>
              <w:rPr>
                <w:rFonts w:ascii="Arial" w:hAnsi="Arial"/>
                <w:color w:val="000000"/>
                <w:sz w:val="16"/>
              </w:rPr>
              <w:t>F01 P1</w:t>
            </w:r>
          </w:p>
        </w:tc>
        <w:tc>
          <w:tcPr>
            <w:tcW w:type="dxa" w:w="4337"/>
            <w:vAlign w:val="top"/>
          </w:tcPr>
          <w:p>
            <w:pPr>
              <w:spacing w:after="20" w:line="245" w:lineRule="auto"/>
            </w:pPr>
            <w:r>
              <w:rPr>
                <w:rFonts w:ascii="Arial" w:hAnsi="Arial"/>
                <w:color w:val="000000"/>
                <w:sz w:val="16"/>
              </w:rPr>
              <w:t>Show products and service descriptions in RU and KK.</w:t>
            </w:r>
          </w:p>
        </w:tc>
        <w:tc>
          <w:tcPr>
            <w:tcW w:type="dxa" w:w="4649"/>
            <w:vAlign w:val="top"/>
          </w:tcPr>
          <w:p>
            <w:pPr>
              <w:spacing w:after="20" w:line="245" w:lineRule="auto"/>
            </w:pPr>
            <w:r>
              <w:rPr>
                <w:rFonts w:ascii="Arial" w:hAnsi="Arial"/>
                <w:color w:val="000000"/>
                <w:sz w:val="16"/>
              </w:rPr>
              <w:t>A user changes language; equivalent core product/service fields appear in both languages.</w:t>
            </w:r>
          </w:p>
        </w:tc>
      </w:tr>
      <w:tr>
        <w:trPr>
          <w:cantSplit/>
        </w:trPr>
        <w:tc>
          <w:tcPr>
            <w:tcW w:type="dxa" w:w="822"/>
            <w:vAlign w:val="top"/>
          </w:tcPr>
          <w:p>
            <w:pPr>
              <w:spacing w:after="20" w:line="245" w:lineRule="auto"/>
            </w:pPr>
            <w:r>
              <w:rPr>
                <w:rFonts w:ascii="Arial" w:hAnsi="Arial"/>
                <w:color w:val="000000"/>
                <w:sz w:val="16"/>
              </w:rPr>
              <w:t>F02 P1</w:t>
            </w:r>
          </w:p>
        </w:tc>
        <w:tc>
          <w:tcPr>
            <w:tcW w:type="dxa" w:w="4337"/>
            <w:vAlign w:val="top"/>
          </w:tcPr>
          <w:p>
            <w:pPr>
              <w:spacing w:after="20" w:line="245" w:lineRule="auto"/>
            </w:pPr>
            <w:r>
              <w:rPr>
                <w:rFonts w:ascii="Arial" w:hAnsi="Arial"/>
                <w:color w:val="000000"/>
                <w:sz w:val="16"/>
              </w:rPr>
              <w:t>Search/filter the catalogue and open a product page.</w:t>
            </w:r>
          </w:p>
        </w:tc>
        <w:tc>
          <w:tcPr>
            <w:tcW w:type="dxa" w:w="4649"/>
            <w:vAlign w:val="top"/>
          </w:tcPr>
          <w:p>
            <w:pPr>
              <w:spacing w:after="20" w:line="245" w:lineRule="auto"/>
            </w:pPr>
            <w:r>
              <w:rPr>
                <w:rFonts w:ascii="Arial" w:hAnsi="Arial"/>
                <w:color w:val="000000"/>
                <w:sz w:val="16"/>
              </w:rPr>
              <w:t>Given a known item, user finds and opens its detail page.</w:t>
            </w:r>
          </w:p>
        </w:tc>
      </w:tr>
      <w:tr>
        <w:trPr>
          <w:cantSplit/>
        </w:trPr>
        <w:tc>
          <w:tcPr>
            <w:tcW w:type="dxa" w:w="822"/>
            <w:vAlign w:val="top"/>
          </w:tcPr>
          <w:p>
            <w:pPr>
              <w:spacing w:after="20" w:line="245" w:lineRule="auto"/>
            </w:pPr>
            <w:r>
              <w:rPr>
                <w:rFonts w:ascii="Arial" w:hAnsi="Arial"/>
                <w:color w:val="000000"/>
                <w:sz w:val="16"/>
              </w:rPr>
              <w:t>F03 P1</w:t>
            </w:r>
          </w:p>
        </w:tc>
        <w:tc>
          <w:tcPr>
            <w:tcW w:type="dxa" w:w="4337"/>
            <w:vAlign w:val="top"/>
          </w:tcPr>
          <w:p>
            <w:pPr>
              <w:spacing w:after="20" w:line="245" w:lineRule="auto"/>
            </w:pPr>
            <w:r>
              <w:rPr>
                <w:rFonts w:ascii="Arial" w:hAnsi="Arial"/>
                <w:color w:val="000000"/>
                <w:sz w:val="16"/>
              </w:rPr>
              <w:t>Submit a sales enquiry from the public site.</w:t>
            </w:r>
          </w:p>
        </w:tc>
        <w:tc>
          <w:tcPr>
            <w:tcW w:type="dxa" w:w="4649"/>
            <w:vAlign w:val="top"/>
          </w:tcPr>
          <w:p>
            <w:pPr>
              <w:spacing w:after="20" w:line="245" w:lineRule="auto"/>
            </w:pPr>
            <w:r>
              <w:rPr>
                <w:rFonts w:ascii="Arial" w:hAnsi="Arial"/>
                <w:color w:val="000000"/>
                <w:sz w:val="16"/>
              </w:rPr>
              <w:t>Valid input creates one lead and confirmation; invalid required fields show errors.</w:t>
            </w:r>
          </w:p>
        </w:tc>
      </w:tr>
      <w:tr>
        <w:trPr>
          <w:cantSplit/>
        </w:trPr>
        <w:tc>
          <w:tcPr>
            <w:tcW w:type="dxa" w:w="822"/>
            <w:vAlign w:val="top"/>
          </w:tcPr>
          <w:p>
            <w:pPr>
              <w:spacing w:after="20" w:line="245" w:lineRule="auto"/>
            </w:pPr>
            <w:r>
              <w:rPr>
                <w:rFonts w:ascii="Arial" w:hAnsi="Arial"/>
                <w:color w:val="000000"/>
                <w:sz w:val="16"/>
              </w:rPr>
              <w:t>F04 P1</w:t>
            </w:r>
          </w:p>
        </w:tc>
        <w:tc>
          <w:tcPr>
            <w:tcW w:type="dxa" w:w="4337"/>
            <w:vAlign w:val="top"/>
          </w:tcPr>
          <w:p>
            <w:pPr>
              <w:spacing w:after="20" w:line="245" w:lineRule="auto"/>
            </w:pPr>
            <w:r>
              <w:rPr>
                <w:rFonts w:ascii="Arial" w:hAnsi="Arial"/>
                <w:color w:val="000000"/>
                <w:sz w:val="16"/>
              </w:rPr>
              <w:t>Submit a repair request with contact, equipment, problem and address.</w:t>
            </w:r>
          </w:p>
        </w:tc>
        <w:tc>
          <w:tcPr>
            <w:tcW w:type="dxa" w:w="4649"/>
            <w:vAlign w:val="top"/>
          </w:tcPr>
          <w:p>
            <w:pPr>
              <w:spacing w:after="20" w:line="245" w:lineRule="auto"/>
            </w:pPr>
            <w:r>
              <w:rPr>
                <w:rFonts w:ascii="Arial" w:hAnsi="Arial"/>
                <w:color w:val="000000"/>
                <w:sz w:val="16"/>
              </w:rPr>
              <w:t>Valid form creates one service case; missing required data is rejected.</w:t>
            </w:r>
          </w:p>
        </w:tc>
      </w:tr>
      <w:tr>
        <w:trPr>
          <w:cantSplit/>
        </w:trPr>
        <w:tc>
          <w:tcPr>
            <w:tcW w:type="dxa" w:w="822"/>
            <w:vAlign w:val="top"/>
          </w:tcPr>
          <w:p>
            <w:pPr>
              <w:spacing w:after="20" w:line="245" w:lineRule="auto"/>
            </w:pPr>
            <w:r>
              <w:rPr>
                <w:rFonts w:ascii="Arial" w:hAnsi="Arial"/>
                <w:color w:val="000000"/>
                <w:sz w:val="16"/>
              </w:rPr>
              <w:t>F05 P1</w:t>
            </w:r>
          </w:p>
        </w:tc>
        <w:tc>
          <w:tcPr>
            <w:tcW w:type="dxa" w:w="4337"/>
            <w:vAlign w:val="top"/>
          </w:tcPr>
          <w:p>
            <w:pPr>
              <w:spacing w:after="20" w:line="245" w:lineRule="auto"/>
            </w:pPr>
            <w:r>
              <w:rPr>
                <w:rFonts w:ascii="Arial" w:hAnsi="Arial"/>
                <w:color w:val="000000"/>
                <w:sz w:val="16"/>
              </w:rPr>
              <w:t>Authenticate staff and restrict admin/manager actions.</w:t>
            </w:r>
          </w:p>
        </w:tc>
        <w:tc>
          <w:tcPr>
            <w:tcW w:type="dxa" w:w="4649"/>
            <w:vAlign w:val="top"/>
          </w:tcPr>
          <w:p>
            <w:pPr>
              <w:spacing w:after="20" w:line="245" w:lineRule="auto"/>
            </w:pPr>
            <w:r>
              <w:rPr>
                <w:rFonts w:ascii="Arial" w:hAnsi="Arial"/>
                <w:color w:val="000000"/>
                <w:sz w:val="16"/>
              </w:rPr>
              <w:t>Anonymous requests cannot access CRM; manager cannot change admin-only users/roles.</w:t>
            </w:r>
          </w:p>
        </w:tc>
      </w:tr>
      <w:tr>
        <w:trPr>
          <w:cantSplit/>
        </w:trPr>
        <w:tc>
          <w:tcPr>
            <w:tcW w:type="dxa" w:w="822"/>
            <w:vAlign w:val="top"/>
          </w:tcPr>
          <w:p>
            <w:pPr>
              <w:spacing w:after="20" w:line="245" w:lineRule="auto"/>
            </w:pPr>
            <w:r>
              <w:rPr>
                <w:rFonts w:ascii="Arial" w:hAnsi="Arial"/>
                <w:color w:val="000000"/>
                <w:sz w:val="16"/>
              </w:rPr>
              <w:t>F06 P1</w:t>
            </w:r>
          </w:p>
        </w:tc>
        <w:tc>
          <w:tcPr>
            <w:tcW w:type="dxa" w:w="4337"/>
            <w:vAlign w:val="top"/>
          </w:tcPr>
          <w:p>
            <w:pPr>
              <w:spacing w:after="20" w:line="245" w:lineRule="auto"/>
            </w:pPr>
            <w:r>
              <w:rPr>
                <w:rFonts w:ascii="Arial" w:hAnsi="Arial"/>
                <w:color w:val="000000"/>
                <w:sz w:val="16"/>
              </w:rPr>
              <w:t>Show a searchable manager queue for sales and repair cases.</w:t>
            </w:r>
          </w:p>
        </w:tc>
        <w:tc>
          <w:tcPr>
            <w:tcW w:type="dxa" w:w="4649"/>
            <w:vAlign w:val="top"/>
          </w:tcPr>
          <w:p>
            <w:pPr>
              <w:spacing w:after="20" w:line="245" w:lineRule="auto"/>
            </w:pPr>
            <w:r>
              <w:rPr>
                <w:rFonts w:ascii="Arial" w:hAnsi="Arial"/>
                <w:color w:val="000000"/>
                <w:sz w:val="16"/>
              </w:rPr>
              <w:t>Manager filters by type/status and opens a case.</w:t>
            </w:r>
          </w:p>
        </w:tc>
      </w:tr>
      <w:tr>
        <w:trPr>
          <w:cantSplit/>
        </w:trPr>
        <w:tc>
          <w:tcPr>
            <w:tcW w:type="dxa" w:w="822"/>
            <w:vAlign w:val="top"/>
          </w:tcPr>
          <w:p>
            <w:pPr>
              <w:spacing w:after="20" w:line="245" w:lineRule="auto"/>
            </w:pPr>
            <w:r>
              <w:rPr>
                <w:rFonts w:ascii="Arial" w:hAnsi="Arial"/>
                <w:color w:val="000000"/>
                <w:sz w:val="16"/>
              </w:rPr>
              <w:t>F07 P1</w:t>
            </w:r>
          </w:p>
        </w:tc>
        <w:tc>
          <w:tcPr>
            <w:tcW w:type="dxa" w:w="4337"/>
            <w:vAlign w:val="top"/>
          </w:tcPr>
          <w:p>
            <w:pPr>
              <w:spacing w:after="20" w:line="245" w:lineRule="auto"/>
            </w:pPr>
            <w:r>
              <w:rPr>
                <w:rFonts w:ascii="Arial" w:hAnsi="Arial"/>
                <w:color w:val="000000"/>
                <w:sz w:val="16"/>
              </w:rPr>
              <w:t>Record sales stages and next action.</w:t>
            </w:r>
          </w:p>
        </w:tc>
        <w:tc>
          <w:tcPr>
            <w:tcW w:type="dxa" w:w="4649"/>
            <w:vAlign w:val="top"/>
          </w:tcPr>
          <w:p>
            <w:pPr>
              <w:spacing w:after="20" w:line="245" w:lineRule="auto"/>
            </w:pPr>
            <w:r>
              <w:rPr>
                <w:rFonts w:ascii="Arial" w:hAnsi="Arial"/>
                <w:color w:val="000000"/>
                <w:sz w:val="16"/>
              </w:rPr>
              <w:t>Manager changes New → Contacted → Quoted → Won/Lost and sees actor/time.</w:t>
            </w:r>
          </w:p>
        </w:tc>
      </w:tr>
      <w:tr>
        <w:trPr>
          <w:cantSplit/>
        </w:trPr>
        <w:tc>
          <w:tcPr>
            <w:tcW w:type="dxa" w:w="822"/>
            <w:vAlign w:val="top"/>
          </w:tcPr>
          <w:p>
            <w:pPr>
              <w:spacing w:after="20" w:line="245" w:lineRule="auto"/>
            </w:pPr>
            <w:r>
              <w:rPr>
                <w:rFonts w:ascii="Arial" w:hAnsi="Arial"/>
                <w:color w:val="000000"/>
                <w:sz w:val="16"/>
              </w:rPr>
              <w:t>F08 P1</w:t>
            </w:r>
          </w:p>
        </w:tc>
        <w:tc>
          <w:tcPr>
            <w:tcW w:type="dxa" w:w="4337"/>
            <w:vAlign w:val="top"/>
          </w:tcPr>
          <w:p>
            <w:pPr>
              <w:spacing w:after="20" w:line="245" w:lineRule="auto"/>
            </w:pPr>
            <w:r>
              <w:rPr>
                <w:rFonts w:ascii="Arial" w:hAnsi="Arial"/>
                <w:color w:val="000000"/>
                <w:sz w:val="16"/>
              </w:rPr>
              <w:t>Assign a repair case to a worker and planned visit slot.</w:t>
            </w:r>
          </w:p>
        </w:tc>
        <w:tc>
          <w:tcPr>
            <w:tcW w:type="dxa" w:w="4649"/>
            <w:vAlign w:val="top"/>
          </w:tcPr>
          <w:p>
            <w:pPr>
              <w:spacing w:after="20" w:line="245" w:lineRule="auto"/>
            </w:pPr>
            <w:r>
              <w:rPr>
                <w:rFonts w:ascii="Arial" w:hAnsi="Arial"/>
                <w:color w:val="000000"/>
                <w:sz w:val="16"/>
              </w:rPr>
              <w:t>Case shows worker, slot, manager and an assignment event.</w:t>
            </w:r>
          </w:p>
        </w:tc>
      </w:tr>
      <w:tr>
        <w:trPr>
          <w:cantSplit/>
        </w:trPr>
        <w:tc>
          <w:tcPr>
            <w:tcW w:type="dxa" w:w="822"/>
            <w:vAlign w:val="top"/>
          </w:tcPr>
          <w:p>
            <w:pPr>
              <w:spacing w:after="20" w:line="245" w:lineRule="auto"/>
            </w:pPr>
            <w:r>
              <w:rPr>
                <w:rFonts w:ascii="Arial" w:hAnsi="Arial"/>
                <w:color w:val="000000"/>
                <w:sz w:val="16"/>
              </w:rPr>
              <w:t>F09 P1</w:t>
            </w:r>
          </w:p>
        </w:tc>
        <w:tc>
          <w:tcPr>
            <w:tcW w:type="dxa" w:w="4337"/>
            <w:vAlign w:val="top"/>
          </w:tcPr>
          <w:p>
            <w:pPr>
              <w:spacing w:after="20" w:line="245" w:lineRule="auto"/>
            </w:pPr>
            <w:r>
              <w:rPr>
                <w:rFonts w:ascii="Arial" w:hAnsi="Arial"/>
                <w:color w:val="000000"/>
                <w:sz w:val="16"/>
              </w:rPr>
              <w:t>Track departure, arrival, result and rescheduling.</w:t>
            </w:r>
          </w:p>
        </w:tc>
        <w:tc>
          <w:tcPr>
            <w:tcW w:type="dxa" w:w="4649"/>
            <w:vAlign w:val="top"/>
          </w:tcPr>
          <w:p>
            <w:pPr>
              <w:spacing w:after="20" w:line="245" w:lineRule="auto"/>
            </w:pPr>
            <w:r>
              <w:rPr>
                <w:rFonts w:ascii="Arial" w:hAnsi="Arial"/>
                <w:color w:val="000000"/>
                <w:sz w:val="16"/>
              </w:rPr>
              <w:t>Manager enters technician-reported events; order, reporter, event time and entry time remain visible.</w:t>
            </w:r>
          </w:p>
        </w:tc>
      </w:tr>
      <w:tr>
        <w:trPr>
          <w:cantSplit/>
        </w:trPr>
        <w:tc>
          <w:tcPr>
            <w:tcW w:type="dxa" w:w="822"/>
            <w:vAlign w:val="top"/>
          </w:tcPr>
          <w:p>
            <w:pPr>
              <w:spacing w:after="20" w:line="245" w:lineRule="auto"/>
            </w:pPr>
            <w:r>
              <w:rPr>
                <w:rFonts w:ascii="Arial" w:hAnsi="Arial"/>
                <w:color w:val="000000"/>
                <w:sz w:val="16"/>
              </w:rPr>
              <w:t>F10 P1</w:t>
            </w:r>
          </w:p>
        </w:tc>
        <w:tc>
          <w:tcPr>
            <w:tcW w:type="dxa" w:w="4337"/>
            <w:vAlign w:val="top"/>
          </w:tcPr>
          <w:p>
            <w:pPr>
              <w:spacing w:after="20" w:line="245" w:lineRule="auto"/>
            </w:pPr>
            <w:r>
              <w:rPr>
                <w:rFonts w:ascii="Arial" w:hAnsi="Arial"/>
                <w:color w:val="000000"/>
                <w:sz w:val="16"/>
              </w:rPr>
              <w:t>Close a repair case with outcome and notes.</w:t>
            </w:r>
          </w:p>
        </w:tc>
        <w:tc>
          <w:tcPr>
            <w:tcW w:type="dxa" w:w="4649"/>
            <w:vAlign w:val="top"/>
          </w:tcPr>
          <w:p>
            <w:pPr>
              <w:spacing w:after="20" w:line="245" w:lineRule="auto"/>
            </w:pPr>
            <w:r>
              <w:rPr>
                <w:rFonts w:ascii="Arial" w:hAnsi="Arial"/>
                <w:color w:val="000000"/>
                <w:sz w:val="16"/>
              </w:rPr>
              <w:t>Closure requires an outcome; history remains readable after closure.</w:t>
            </w:r>
          </w:p>
        </w:tc>
      </w:tr>
      <w:tr>
        <w:trPr>
          <w:cantSplit/>
        </w:trPr>
        <w:tc>
          <w:tcPr>
            <w:tcW w:type="dxa" w:w="822"/>
            <w:vAlign w:val="top"/>
          </w:tcPr>
          <w:p>
            <w:pPr>
              <w:spacing w:after="20" w:line="245" w:lineRule="auto"/>
            </w:pPr>
            <w:r>
              <w:rPr>
                <w:rFonts w:ascii="Arial" w:hAnsi="Arial"/>
                <w:color w:val="000000"/>
                <w:sz w:val="16"/>
              </w:rPr>
              <w:t>F11 P2</w:t>
            </w:r>
          </w:p>
        </w:tc>
        <w:tc>
          <w:tcPr>
            <w:tcW w:type="dxa" w:w="4337"/>
            <w:vAlign w:val="top"/>
          </w:tcPr>
          <w:p>
            <w:pPr>
              <w:spacing w:after="20" w:line="245" w:lineRule="auto"/>
            </w:pPr>
            <w:r>
              <w:rPr>
                <w:rFonts w:ascii="Arial" w:hAnsi="Arial"/>
                <w:color w:val="000000"/>
                <w:sz w:val="16"/>
              </w:rPr>
              <w:t>Admin edits products, translations and service text.</w:t>
            </w:r>
          </w:p>
        </w:tc>
        <w:tc>
          <w:tcPr>
            <w:tcW w:type="dxa" w:w="4649"/>
            <w:vAlign w:val="top"/>
          </w:tcPr>
          <w:p>
            <w:pPr>
              <w:spacing w:after="20" w:line="245" w:lineRule="auto"/>
            </w:pPr>
            <w:r>
              <w:rPr>
                <w:rFonts w:ascii="Arial" w:hAnsi="Arial"/>
                <w:color w:val="000000"/>
                <w:sz w:val="16"/>
              </w:rPr>
              <w:t>Saved revision appears publicly and is attributable to an admin.</w:t>
            </w:r>
          </w:p>
        </w:tc>
      </w:tr>
      <w:tr>
        <w:trPr>
          <w:cantSplit/>
        </w:trPr>
        <w:tc>
          <w:tcPr>
            <w:tcW w:type="dxa" w:w="822"/>
            <w:vAlign w:val="top"/>
          </w:tcPr>
          <w:p>
            <w:pPr>
              <w:spacing w:after="20" w:line="245" w:lineRule="auto"/>
            </w:pPr>
            <w:r>
              <w:rPr>
                <w:rFonts w:ascii="Arial" w:hAnsi="Arial"/>
                <w:color w:val="000000"/>
                <w:sz w:val="16"/>
              </w:rPr>
              <w:t>F12 P2</w:t>
            </w:r>
          </w:p>
        </w:tc>
        <w:tc>
          <w:tcPr>
            <w:tcW w:type="dxa" w:w="4337"/>
            <w:vAlign w:val="top"/>
          </w:tcPr>
          <w:p>
            <w:pPr>
              <w:spacing w:after="20" w:line="245" w:lineRule="auto"/>
            </w:pPr>
            <w:r>
              <w:rPr>
                <w:rFonts w:ascii="Arial" w:hAnsi="Arial"/>
                <w:color w:val="000000"/>
                <w:sz w:val="16"/>
              </w:rPr>
              <w:t>Admin reviews workload and exports basic case totals.</w:t>
            </w:r>
          </w:p>
        </w:tc>
        <w:tc>
          <w:tcPr>
            <w:tcW w:type="dxa" w:w="4649"/>
            <w:vAlign w:val="top"/>
          </w:tcPr>
          <w:p>
            <w:pPr>
              <w:spacing w:after="20" w:line="245" w:lineRule="auto"/>
            </w:pPr>
            <w:r>
              <w:rPr>
                <w:rFonts w:ascii="Arial" w:hAnsi="Arial"/>
                <w:color w:val="000000"/>
                <w:sz w:val="16"/>
              </w:rPr>
              <w:t>Counts reconcile with filtered stored records for a chosen period.</w:t>
            </w:r>
          </w:p>
        </w:tc>
      </w:tr>
    </w:tbl>
    <w:p>
      <w:pPr>
        <w:spacing w:after="0"/>
      </w:pPr>
    </w:p>
    <w:p>
      <w:r>
        <w:t>Status model: sales = New, Contacted, Quoted, Won or Lost. Repair = New, Triaged, Scheduled, En route, On site, Completed or Cancelled. Rescheduling records a new planned slot and an event; it does not erase the earlier plan. In version one, a manager receives updates from the technician by phone/message and records them in CRM. No technician account or automatic location tracking is assumed. The representative must confirm this hand-off before implementation.</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822"/>
          </w:tcPr>
          <w:p>
            <w:pPr>
              <w:keepNext/>
              <w:spacing w:after="20" w:line="245" w:lineRule="auto"/>
            </w:pPr>
            <w:r>
              <w:rPr>
                <w:rFonts w:ascii="Arial" w:hAnsi="Arial"/>
                <w:b/>
                <w:color w:val="000000"/>
                <w:sz w:val="16"/>
              </w:rPr>
              <w:t>ID / priority</w:t>
            </w:r>
          </w:p>
        </w:tc>
        <w:tc>
          <w:tcPr>
            <w:tcW w:type="dxa" w:w="4337"/>
          </w:tcPr>
          <w:p>
            <w:pPr>
              <w:keepNext/>
              <w:spacing w:after="20" w:line="245" w:lineRule="auto"/>
            </w:pPr>
            <w:r>
              <w:rPr>
                <w:rFonts w:ascii="Arial" w:hAnsi="Arial"/>
                <w:b/>
                <w:color w:val="000000"/>
                <w:sz w:val="16"/>
              </w:rPr>
              <w:t>Non-functional requirement</w:t>
            </w:r>
          </w:p>
        </w:tc>
        <w:tc>
          <w:tcPr>
            <w:tcW w:type="dxa" w:w="4649"/>
          </w:tcPr>
          <w:p>
            <w:pPr>
              <w:keepNext/>
              <w:spacing w:after="20" w:line="245" w:lineRule="auto"/>
            </w:pPr>
            <w:r>
              <w:rPr>
                <w:rFonts w:ascii="Arial" w:hAnsi="Arial"/>
                <w:b/>
                <w:color w:val="000000"/>
                <w:sz w:val="16"/>
              </w:rPr>
              <w:t>Acceptance check</w:t>
            </w:r>
          </w:p>
        </w:tc>
      </w:tr>
      <w:tr>
        <w:trPr>
          <w:cantSplit/>
        </w:trPr>
        <w:tc>
          <w:tcPr>
            <w:tcW w:type="dxa" w:w="822"/>
            <w:vAlign w:val="top"/>
          </w:tcPr>
          <w:p>
            <w:pPr>
              <w:spacing w:after="20" w:line="245" w:lineRule="auto"/>
            </w:pPr>
            <w:r>
              <w:rPr>
                <w:rFonts w:ascii="Arial" w:hAnsi="Arial"/>
                <w:color w:val="000000"/>
                <w:sz w:val="16"/>
              </w:rPr>
              <w:t>N01 P1</w:t>
            </w:r>
          </w:p>
        </w:tc>
        <w:tc>
          <w:tcPr>
            <w:tcW w:type="dxa" w:w="4337"/>
            <w:vAlign w:val="top"/>
          </w:tcPr>
          <w:p>
            <w:pPr>
              <w:spacing w:after="20" w:line="245" w:lineRule="auto"/>
            </w:pPr>
            <w:r>
              <w:rPr>
                <w:rFonts w:ascii="Arial" w:hAnsi="Arial"/>
                <w:color w:val="000000"/>
                <w:sz w:val="16"/>
              </w:rPr>
              <w:t>Protect staff sessions and personal data [15].</w:t>
            </w:r>
          </w:p>
        </w:tc>
        <w:tc>
          <w:tcPr>
            <w:tcW w:type="dxa" w:w="4649"/>
            <w:vAlign w:val="top"/>
          </w:tcPr>
          <w:p>
            <w:pPr>
              <w:spacing w:after="20" w:line="245" w:lineRule="auto"/>
            </w:pPr>
            <w:r>
              <w:rPr>
                <w:rFonts w:ascii="Arial" w:hAnsi="Arial"/>
                <w:color w:val="000000"/>
                <w:sz w:val="16"/>
              </w:rPr>
              <w:t>Role/anonymous access tests pass; sensitive fields are absent from public pages and logs.</w:t>
            </w:r>
          </w:p>
        </w:tc>
      </w:tr>
      <w:tr>
        <w:trPr>
          <w:cantSplit/>
        </w:trPr>
        <w:tc>
          <w:tcPr>
            <w:tcW w:type="dxa" w:w="822"/>
            <w:vAlign w:val="top"/>
          </w:tcPr>
          <w:p>
            <w:pPr>
              <w:spacing w:after="20" w:line="245" w:lineRule="auto"/>
            </w:pPr>
            <w:r>
              <w:rPr>
                <w:rFonts w:ascii="Arial" w:hAnsi="Arial"/>
                <w:color w:val="000000"/>
                <w:sz w:val="16"/>
              </w:rPr>
              <w:t>N02 P1</w:t>
            </w:r>
          </w:p>
        </w:tc>
        <w:tc>
          <w:tcPr>
            <w:tcW w:type="dxa" w:w="4337"/>
            <w:vAlign w:val="top"/>
          </w:tcPr>
          <w:p>
            <w:pPr>
              <w:spacing w:after="20" w:line="245" w:lineRule="auto"/>
            </w:pPr>
            <w:r>
              <w:rPr>
                <w:rFonts w:ascii="Arial" w:hAnsi="Arial"/>
                <w:color w:val="000000"/>
                <w:sz w:val="16"/>
              </w:rPr>
              <w:t>Preserve record integrity.</w:t>
            </w:r>
          </w:p>
        </w:tc>
        <w:tc>
          <w:tcPr>
            <w:tcW w:type="dxa" w:w="4649"/>
            <w:vAlign w:val="top"/>
          </w:tcPr>
          <w:p>
            <w:pPr>
              <w:spacing w:after="20" w:line="245" w:lineRule="auto"/>
            </w:pPr>
            <w:r>
              <w:rPr>
                <w:rFonts w:ascii="Arial" w:hAnsi="Arial"/>
                <w:color w:val="000000"/>
                <w:sz w:val="16"/>
              </w:rPr>
              <w:t>Invalid transitions and orphan assignments are rejected; event history survives reload.</w:t>
            </w:r>
          </w:p>
        </w:tc>
      </w:tr>
      <w:tr>
        <w:trPr>
          <w:cantSplit/>
        </w:trPr>
        <w:tc>
          <w:tcPr>
            <w:tcW w:type="dxa" w:w="822"/>
            <w:vAlign w:val="top"/>
          </w:tcPr>
          <w:p>
            <w:pPr>
              <w:spacing w:after="20" w:line="245" w:lineRule="auto"/>
            </w:pPr>
            <w:r>
              <w:rPr>
                <w:rFonts w:ascii="Arial" w:hAnsi="Arial"/>
                <w:color w:val="000000"/>
                <w:sz w:val="16"/>
              </w:rPr>
              <w:t>N03 P1</w:t>
            </w:r>
          </w:p>
        </w:tc>
        <w:tc>
          <w:tcPr>
            <w:tcW w:type="dxa" w:w="4337"/>
            <w:vAlign w:val="top"/>
          </w:tcPr>
          <w:p>
            <w:pPr>
              <w:spacing w:after="20" w:line="245" w:lineRule="auto"/>
            </w:pPr>
            <w:r>
              <w:rPr>
                <w:rFonts w:ascii="Arial" w:hAnsi="Arial"/>
                <w:color w:val="000000"/>
                <w:sz w:val="16"/>
              </w:rPr>
              <w:t>Make the core flow usable on desktop and mobile.</w:t>
            </w:r>
          </w:p>
        </w:tc>
        <w:tc>
          <w:tcPr>
            <w:tcW w:type="dxa" w:w="4649"/>
            <w:vAlign w:val="top"/>
          </w:tcPr>
          <w:p>
            <w:pPr>
              <w:spacing w:after="20" w:line="245" w:lineRule="auto"/>
            </w:pPr>
            <w:r>
              <w:rPr>
                <w:rFonts w:ascii="Arial" w:hAnsi="Arial"/>
                <w:color w:val="000000"/>
                <w:sz w:val="16"/>
              </w:rPr>
              <w:t>Forms, queue and case view work without horizontal clipping at 360 px and desktop width.</w:t>
            </w:r>
          </w:p>
        </w:tc>
      </w:tr>
      <w:tr>
        <w:trPr>
          <w:cantSplit/>
        </w:trPr>
        <w:tc>
          <w:tcPr>
            <w:tcW w:type="dxa" w:w="822"/>
            <w:vAlign w:val="top"/>
          </w:tcPr>
          <w:p>
            <w:pPr>
              <w:spacing w:after="20" w:line="245" w:lineRule="auto"/>
            </w:pPr>
            <w:r>
              <w:rPr>
                <w:rFonts w:ascii="Arial" w:hAnsi="Arial"/>
                <w:color w:val="000000"/>
                <w:sz w:val="16"/>
              </w:rPr>
              <w:t>N04 P1</w:t>
            </w:r>
          </w:p>
        </w:tc>
        <w:tc>
          <w:tcPr>
            <w:tcW w:type="dxa" w:w="4337"/>
            <w:vAlign w:val="top"/>
          </w:tcPr>
          <w:p>
            <w:pPr>
              <w:spacing w:after="20" w:line="245" w:lineRule="auto"/>
            </w:pPr>
            <w:r>
              <w:rPr>
                <w:rFonts w:ascii="Arial" w:hAnsi="Arial"/>
                <w:color w:val="000000"/>
                <w:sz w:val="16"/>
              </w:rPr>
              <w:t>Provide equivalent RU/KK core content.</w:t>
            </w:r>
          </w:p>
        </w:tc>
        <w:tc>
          <w:tcPr>
            <w:tcW w:type="dxa" w:w="4649"/>
            <w:vAlign w:val="top"/>
          </w:tcPr>
          <w:p>
            <w:pPr>
              <w:spacing w:after="20" w:line="245" w:lineRule="auto"/>
            </w:pPr>
            <w:r>
              <w:rPr>
                <w:rFonts w:ascii="Arial" w:hAnsi="Arial"/>
                <w:color w:val="000000"/>
                <w:sz w:val="16"/>
              </w:rPr>
              <w:t>Language checklist finds no untranslated required field or broken navigation.</w:t>
            </w:r>
          </w:p>
        </w:tc>
      </w:tr>
      <w:tr>
        <w:trPr>
          <w:cantSplit/>
        </w:trPr>
        <w:tc>
          <w:tcPr>
            <w:tcW w:type="dxa" w:w="822"/>
            <w:vAlign w:val="top"/>
          </w:tcPr>
          <w:p>
            <w:pPr>
              <w:spacing w:after="20" w:line="245" w:lineRule="auto"/>
            </w:pPr>
            <w:r>
              <w:rPr>
                <w:rFonts w:ascii="Arial" w:hAnsi="Arial"/>
                <w:color w:val="000000"/>
                <w:sz w:val="16"/>
              </w:rPr>
              <w:t>N05 P1</w:t>
            </w:r>
          </w:p>
        </w:tc>
        <w:tc>
          <w:tcPr>
            <w:tcW w:type="dxa" w:w="4337"/>
            <w:vAlign w:val="top"/>
          </w:tcPr>
          <w:p>
            <w:pPr>
              <w:spacing w:after="20" w:line="245" w:lineRule="auto"/>
            </w:pPr>
            <w:r>
              <w:rPr>
                <w:rFonts w:ascii="Arial" w:hAnsi="Arial"/>
                <w:color w:val="000000"/>
                <w:sz w:val="16"/>
              </w:rPr>
              <w:t>Meet selected WCAG 2.2 AA checks [12].</w:t>
            </w:r>
          </w:p>
        </w:tc>
        <w:tc>
          <w:tcPr>
            <w:tcW w:type="dxa" w:w="4649"/>
            <w:vAlign w:val="top"/>
          </w:tcPr>
          <w:p>
            <w:pPr>
              <w:spacing w:after="20" w:line="245" w:lineRule="auto"/>
            </w:pPr>
            <w:r>
              <w:rPr>
                <w:rFonts w:ascii="Arial" w:hAnsi="Arial"/>
                <w:color w:val="000000"/>
                <w:sz w:val="16"/>
              </w:rPr>
              <w:t>Keyboard flow, labels, focus visibility and contrast are checked on core screens.</w:t>
            </w:r>
          </w:p>
        </w:tc>
      </w:tr>
      <w:tr>
        <w:trPr>
          <w:cantSplit/>
        </w:trPr>
        <w:tc>
          <w:tcPr>
            <w:tcW w:type="dxa" w:w="822"/>
            <w:vAlign w:val="top"/>
          </w:tcPr>
          <w:p>
            <w:pPr>
              <w:spacing w:after="20" w:line="245" w:lineRule="auto"/>
            </w:pPr>
            <w:r>
              <w:rPr>
                <w:rFonts w:ascii="Arial" w:hAnsi="Arial"/>
                <w:color w:val="000000"/>
                <w:sz w:val="16"/>
              </w:rPr>
              <w:t>N06 P2</w:t>
            </w:r>
          </w:p>
        </w:tc>
        <w:tc>
          <w:tcPr>
            <w:tcW w:type="dxa" w:w="4337"/>
            <w:vAlign w:val="top"/>
          </w:tcPr>
          <w:p>
            <w:pPr>
              <w:spacing w:after="20" w:line="245" w:lineRule="auto"/>
            </w:pPr>
            <w:r>
              <w:rPr>
                <w:rFonts w:ascii="Arial" w:hAnsi="Arial"/>
                <w:color w:val="000000"/>
                <w:sz w:val="16"/>
              </w:rPr>
              <w:t>Support practical response time.</w:t>
            </w:r>
          </w:p>
        </w:tc>
        <w:tc>
          <w:tcPr>
            <w:tcW w:type="dxa" w:w="4649"/>
            <w:vAlign w:val="top"/>
          </w:tcPr>
          <w:p>
            <w:pPr>
              <w:spacing w:after="20" w:line="245" w:lineRule="auto"/>
            </w:pPr>
            <w:r>
              <w:rPr>
                <w:rFonts w:ascii="Arial" w:hAnsi="Arial"/>
                <w:color w:val="000000"/>
                <w:sz w:val="16"/>
              </w:rPr>
              <w:t>On agreed test data, catalogue/queue pages meet a target set after baseline measurement.</w:t>
            </w:r>
          </w:p>
        </w:tc>
      </w:tr>
      <w:tr>
        <w:trPr>
          <w:cantSplit/>
        </w:trPr>
        <w:tc>
          <w:tcPr>
            <w:tcW w:type="dxa" w:w="822"/>
            <w:vAlign w:val="top"/>
          </w:tcPr>
          <w:p>
            <w:pPr>
              <w:spacing w:after="20" w:line="245" w:lineRule="auto"/>
            </w:pPr>
            <w:r>
              <w:rPr>
                <w:rFonts w:ascii="Arial" w:hAnsi="Arial"/>
                <w:color w:val="000000"/>
                <w:sz w:val="16"/>
              </w:rPr>
              <w:t>N07 P2</w:t>
            </w:r>
          </w:p>
        </w:tc>
        <w:tc>
          <w:tcPr>
            <w:tcW w:type="dxa" w:w="4337"/>
            <w:vAlign w:val="top"/>
          </w:tcPr>
          <w:p>
            <w:pPr>
              <w:spacing w:after="20" w:line="245" w:lineRule="auto"/>
            </w:pPr>
            <w:r>
              <w:rPr>
                <w:rFonts w:ascii="Arial" w:hAnsi="Arial"/>
                <w:color w:val="000000"/>
                <w:sz w:val="16"/>
              </w:rPr>
              <w:t>Make recovery possible.</w:t>
            </w:r>
          </w:p>
        </w:tc>
        <w:tc>
          <w:tcPr>
            <w:tcW w:type="dxa" w:w="4649"/>
            <w:vAlign w:val="top"/>
          </w:tcPr>
          <w:p>
            <w:pPr>
              <w:spacing w:after="20" w:line="245" w:lineRule="auto"/>
            </w:pPr>
            <w:r>
              <w:rPr>
                <w:rFonts w:ascii="Arial" w:hAnsi="Arial"/>
                <w:color w:val="000000"/>
                <w:sz w:val="16"/>
              </w:rPr>
              <w:t>A documented database backup/restore restores sample cases and events.</w:t>
            </w:r>
          </w:p>
        </w:tc>
      </w:tr>
    </w:tbl>
    <w:p>
      <w:pPr>
        <w:spacing w:after="0"/>
      </w:pPr>
    </w:p>
    <w:p>
      <w:r>
        <w:t>Roles: customer submits/view public information; manager reads and updates assigned or permitted leads/cases and visit events; administrator manages staff access/content and can audit all cases. A field worker is an operational participant, but receives assignments and reports progress outside the application in the proposed first version. Permissions will be checked against actual company practice.</w:t>
      </w:r>
    </w:p>
    <w:p>
      <w:pPr>
        <w:pStyle w:val="Heading1"/>
      </w:pPr>
      <w:r>
        <w:t>7. System architecture and models</w:t>
      </w:r>
    </w:p>
    <w:p>
      <w:pPr>
        <w:keepNext/>
        <w:jc w:val="center"/>
      </w:pPr>
      <w:r>
        <w:drawing>
          <wp:inline xmlns:a="http://schemas.openxmlformats.org/drawingml/2006/main" xmlns:pic="http://schemas.openxmlformats.org/drawingml/2006/picture">
            <wp:extent cx="5976000" cy="2876834"/>
            <wp:docPr id="1" name="Picture 1"/>
            <wp:cNvGraphicFramePr>
              <a:graphicFrameLocks noChangeAspect="1"/>
            </wp:cNvGraphicFramePr>
            <a:graphic>
              <a:graphicData uri="http://schemas.openxmlformats.org/drawingml/2006/picture">
                <pic:pic>
                  <pic:nvPicPr>
                    <pic:cNvPr id="0" name="cropped-context.png"/>
                    <pic:cNvPicPr/>
                  </pic:nvPicPr>
                  <pic:blipFill>
                    <a:blip r:embed="rId9"/>
                    <a:stretch>
                      <a:fillRect/>
                    </a:stretch>
                  </pic:blipFill>
                  <pic:spPr>
                    <a:xfrm>
                      <a:off x="0" y="0"/>
                      <a:ext cx="5976000" cy="2876834"/>
                    </a:xfrm>
                    <a:prstGeom prst="rect"/>
                  </pic:spPr>
                </pic:pic>
              </a:graphicData>
            </a:graphic>
          </wp:inline>
        </w:drawing>
      </w:r>
    </w:p>
    <w:p>
      <w:pPr>
        <w:spacing w:after="140"/>
        <w:jc w:val="center"/>
      </w:pPr>
      <w:r>
        <w:rPr>
          <w:i/>
          <w:sz w:val="15"/>
        </w:rPr>
        <w:t>Figure 1. Context: public website, internal CRM and external participants. Technician reports reach staff; no technician login is assumed.</w:t>
      </w:r>
    </w:p>
    <w:p>
      <w:pPr>
        <w:keepNext/>
        <w:jc w:val="center"/>
      </w:pPr>
      <w:r>
        <w:drawing>
          <wp:inline xmlns:a="http://schemas.openxmlformats.org/drawingml/2006/main" xmlns:pic="http://schemas.openxmlformats.org/drawingml/2006/picture">
            <wp:extent cx="5976000" cy="3119378"/>
            <wp:docPr id="2" name="Picture 2"/>
            <wp:cNvGraphicFramePr>
              <a:graphicFrameLocks noChangeAspect="1"/>
            </wp:cNvGraphicFramePr>
            <a:graphic>
              <a:graphicData uri="http://schemas.openxmlformats.org/drawingml/2006/picture">
                <pic:pic>
                  <pic:nvPicPr>
                    <pic:cNvPr id="0" name="cropped-usecase.png"/>
                    <pic:cNvPicPr/>
                  </pic:nvPicPr>
                  <pic:blipFill>
                    <a:blip r:embed="rId10"/>
                    <a:stretch>
                      <a:fillRect/>
                    </a:stretch>
                  </pic:blipFill>
                  <pic:spPr>
                    <a:xfrm>
                      <a:off x="0" y="0"/>
                      <a:ext cx="5976000" cy="3119378"/>
                    </a:xfrm>
                    <a:prstGeom prst="rect"/>
                  </pic:spPr>
                </pic:pic>
              </a:graphicData>
            </a:graphic>
          </wp:inline>
        </w:drawing>
      </w:r>
    </w:p>
    <w:p>
      <w:pPr>
        <w:spacing w:after="140"/>
        <w:jc w:val="center"/>
      </w:pPr>
      <w:r>
        <w:rPr>
          <w:i/>
          <w:sz w:val="15"/>
        </w:rPr>
        <w:t>Figure 2. Core use cases by role; field-worker communication is outside the version-one system boundary.</w:t>
      </w:r>
    </w:p>
    <w:p>
      <w:pPr>
        <w:keepNext/>
        <w:jc w:val="center"/>
      </w:pPr>
      <w:r>
        <w:drawing>
          <wp:inline xmlns:a="http://schemas.openxmlformats.org/drawingml/2006/main" xmlns:pic="http://schemas.openxmlformats.org/drawingml/2006/picture">
            <wp:extent cx="5976000" cy="2955122"/>
            <wp:docPr id="3" name="Picture 3"/>
            <wp:cNvGraphicFramePr>
              <a:graphicFrameLocks noChangeAspect="1"/>
            </wp:cNvGraphicFramePr>
            <a:graphic>
              <a:graphicData uri="http://schemas.openxmlformats.org/drawingml/2006/picture">
                <pic:pic>
                  <pic:nvPicPr>
                    <pic:cNvPr id="0" name="cropped-components.png"/>
                    <pic:cNvPicPr/>
                  </pic:nvPicPr>
                  <pic:blipFill>
                    <a:blip r:embed="rId11"/>
                    <a:stretch>
                      <a:fillRect/>
                    </a:stretch>
                  </pic:blipFill>
                  <pic:spPr>
                    <a:xfrm>
                      <a:off x="0" y="0"/>
                      <a:ext cx="5976000" cy="2955122"/>
                    </a:xfrm>
                    <a:prstGeom prst="rect"/>
                  </pic:spPr>
                </pic:pic>
              </a:graphicData>
            </a:graphic>
          </wp:inline>
        </w:drawing>
      </w:r>
    </w:p>
    <w:p>
      <w:pPr>
        <w:spacing w:after="140"/>
        <w:jc w:val="center"/>
      </w:pPr>
      <w:r>
        <w:rPr>
          <w:i/>
          <w:sz w:val="15"/>
        </w:rPr>
        <w:t>Figure 3. Proposed components. Application services own database access and append status history.</w:t>
      </w:r>
    </w:p>
    <w:p>
      <w:r>
        <w:t>Core data objects: Product and ProductTranslation; SalesLead; ServiceCase; WorkOrder; Visit (worker and planned slot); StatusEvent (event type, reported event time, entry time, recording staff user); User and Role. One case may have multiple visits, and each visit may have multiple events. Customer identifiers and contact details are stored only where needed for processing, subject to a retention policy to be agreed.</w:t>
      </w:r>
    </w:p>
    <w:p>
      <w:pPr>
        <w:pStyle w:val="Heading1"/>
      </w:pPr>
      <w:r>
        <w:t>8. UX scenarios and draft screens</w:t>
      </w:r>
    </w:p>
    <w:p>
      <w:r>
        <w:t>All names, counts and records in the following wireframes are fictitious. These are design artifacts to review with the representative and intended staff, not evidence of completed functionality.</w:t>
      </w:r>
    </w:p>
    <w:p>
      <w:pPr>
        <w:keepNext/>
        <w:jc w:val="center"/>
      </w:pPr>
      <w:r>
        <w:drawing>
          <wp:inline xmlns:a="http://schemas.openxmlformats.org/drawingml/2006/main" xmlns:pic="http://schemas.openxmlformats.org/drawingml/2006/picture">
            <wp:extent cx="5976000" cy="2948160"/>
            <wp:docPr id="4" name="Picture 4"/>
            <wp:cNvGraphicFramePr>
              <a:graphicFrameLocks noChangeAspect="1"/>
            </wp:cNvGraphicFramePr>
            <a:graphic>
              <a:graphicData uri="http://schemas.openxmlformats.org/drawingml/2006/picture">
                <pic:pic>
                  <pic:nvPicPr>
                    <pic:cNvPr id="0" name="cropped-ui_public_request.png"/>
                    <pic:cNvPicPr/>
                  </pic:nvPicPr>
                  <pic:blipFill>
                    <a:blip r:embed="rId12"/>
                    <a:stretch>
                      <a:fillRect/>
                    </a:stretch>
                  </pic:blipFill>
                  <pic:spPr>
                    <a:xfrm>
                      <a:off x="0" y="0"/>
                      <a:ext cx="5976000" cy="2948160"/>
                    </a:xfrm>
                    <a:prstGeom prst="rect"/>
                  </pic:spPr>
                </pic:pic>
              </a:graphicData>
            </a:graphic>
          </wp:inline>
        </w:drawing>
      </w:r>
    </w:p>
    <w:p>
      <w:pPr>
        <w:spacing w:after="140"/>
        <w:jc w:val="center"/>
      </w:pPr>
      <w:r>
        <w:rPr>
          <w:i/>
          <w:sz w:val="15"/>
        </w:rPr>
        <w:t>Figure 4. Public repair request: essential details, validation and clear confirmation.</w:t>
      </w:r>
    </w:p>
    <w:p>
      <w:pPr>
        <w:keepNext/>
        <w:jc w:val="center"/>
      </w:pPr>
      <w:r>
        <w:drawing>
          <wp:inline xmlns:a="http://schemas.openxmlformats.org/drawingml/2006/main" xmlns:pic="http://schemas.openxmlformats.org/drawingml/2006/picture">
            <wp:extent cx="5976000" cy="2805400"/>
            <wp:docPr id="5" name="Picture 5"/>
            <wp:cNvGraphicFramePr>
              <a:graphicFrameLocks noChangeAspect="1"/>
            </wp:cNvGraphicFramePr>
            <a:graphic>
              <a:graphicData uri="http://schemas.openxmlformats.org/drawingml/2006/picture">
                <pic:pic>
                  <pic:nvPicPr>
                    <pic:cNvPr id="0" name="cropped-ui_manager_queue.png"/>
                    <pic:cNvPicPr/>
                  </pic:nvPicPr>
                  <pic:blipFill>
                    <a:blip r:embed="rId13"/>
                    <a:stretch>
                      <a:fillRect/>
                    </a:stretch>
                  </pic:blipFill>
                  <pic:spPr>
                    <a:xfrm>
                      <a:off x="0" y="0"/>
                      <a:ext cx="5976000" cy="2805400"/>
                    </a:xfrm>
                    <a:prstGeom prst="rect"/>
                  </pic:spPr>
                </pic:pic>
              </a:graphicData>
            </a:graphic>
          </wp:inline>
        </w:drawing>
      </w:r>
    </w:p>
    <w:p>
      <w:pPr>
        <w:spacing w:after="140"/>
        <w:jc w:val="center"/>
      </w:pPr>
      <w:r>
        <w:rPr>
          <w:i/>
          <w:sz w:val="15"/>
        </w:rPr>
        <w:t>Figure 5. Manager queue: shared search, type/status filters and next action.</w:t>
      </w:r>
    </w:p>
    <w:p>
      <w:pPr>
        <w:keepNext/>
        <w:jc w:val="center"/>
      </w:pPr>
      <w:r>
        <w:drawing>
          <wp:inline xmlns:a="http://schemas.openxmlformats.org/drawingml/2006/main" xmlns:pic="http://schemas.openxmlformats.org/drawingml/2006/picture">
            <wp:extent cx="5976000" cy="2961440"/>
            <wp:docPr id="6" name="Picture 6"/>
            <wp:cNvGraphicFramePr>
              <a:graphicFrameLocks noChangeAspect="1"/>
            </wp:cNvGraphicFramePr>
            <a:graphic>
              <a:graphicData uri="http://schemas.openxmlformats.org/drawingml/2006/picture">
                <pic:pic>
                  <pic:nvPicPr>
                    <pic:cNvPr id="0" name="cropped-ui_visit_case.png"/>
                    <pic:cNvPicPr/>
                  </pic:nvPicPr>
                  <pic:blipFill>
                    <a:blip r:embed="rId14"/>
                    <a:stretch>
                      <a:fillRect/>
                    </a:stretch>
                  </pic:blipFill>
                  <pic:spPr>
                    <a:xfrm>
                      <a:off x="0" y="0"/>
                      <a:ext cx="5976000" cy="2961440"/>
                    </a:xfrm>
                    <a:prstGeom prst="rect"/>
                  </pic:spPr>
                </pic:pic>
              </a:graphicData>
            </a:graphic>
          </wp:inline>
        </w:drawing>
      </w:r>
    </w:p>
    <w:p>
      <w:pPr>
        <w:spacing w:after="140"/>
        <w:jc w:val="center"/>
      </w:pPr>
      <w:r>
        <w:rPr>
          <w:i/>
          <w:sz w:val="15"/>
        </w:rPr>
        <w:t>Figure 6. Service case: assignment, visit timeline and manager-entered technician updates.</w:t>
      </w:r>
    </w:p>
    <w:p>
      <w:pPr>
        <w:keepNext/>
        <w:jc w:val="center"/>
      </w:pPr>
      <w:r>
        <w:drawing>
          <wp:inline xmlns:a="http://schemas.openxmlformats.org/drawingml/2006/main" xmlns:pic="http://schemas.openxmlformats.org/drawingml/2006/picture">
            <wp:extent cx="5976000" cy="2689200"/>
            <wp:docPr id="7" name="Picture 7"/>
            <wp:cNvGraphicFramePr>
              <a:graphicFrameLocks noChangeAspect="1"/>
            </wp:cNvGraphicFramePr>
            <a:graphic>
              <a:graphicData uri="http://schemas.openxmlformats.org/drawingml/2006/picture">
                <pic:pic>
                  <pic:nvPicPr>
                    <pic:cNvPr id="0" name="cropped-ui_admin_overview.png"/>
                    <pic:cNvPicPr/>
                  </pic:nvPicPr>
                  <pic:blipFill>
                    <a:blip r:embed="rId15"/>
                    <a:stretch>
                      <a:fillRect/>
                    </a:stretch>
                  </pic:blipFill>
                  <pic:spPr>
                    <a:xfrm>
                      <a:off x="0" y="0"/>
                      <a:ext cx="5976000" cy="2689200"/>
                    </a:xfrm>
                    <a:prstGeom prst="rect"/>
                  </pic:spPr>
                </pic:pic>
              </a:graphicData>
            </a:graphic>
          </wp:inline>
        </w:drawing>
      </w:r>
    </w:p>
    <w:p>
      <w:pPr>
        <w:spacing w:after="140"/>
        <w:jc w:val="center"/>
      </w:pPr>
      <w:r>
        <w:rPr>
          <w:i/>
          <w:sz w:val="15"/>
        </w:rPr>
        <w:t>Figure 7. Administrator overview: workload summary, content and staff controls.</w:t>
      </w:r>
    </w:p>
    <w:tbl>
      <w:tblPr>
        <w:tblStyle w:val="TableGrid"/>
        <w:tblW w:type="auto" w:w="0"/>
        <w:jc w:val="center"/>
        <w:tblLayout w:type="fixed"/>
        <w:tblLook w:firstColumn="1" w:firstRow="1" w:lastColumn="0" w:lastRow="0" w:noHBand="0" w:noVBand="1" w:val="04A0"/>
      </w:tblPr>
      <w:tblGrid>
        <w:gridCol w:w="4904"/>
        <w:gridCol w:w="4904"/>
      </w:tblGrid>
      <w:tr>
        <w:trPr>
          <w:cantSplit/>
        </w:trPr>
        <w:tc>
          <w:tcPr>
            <w:tcW w:type="dxa" w:w="2891"/>
          </w:tcPr>
          <w:p>
            <w:pPr>
              <w:keepNext/>
              <w:spacing w:after="20" w:line="245" w:lineRule="auto"/>
            </w:pPr>
            <w:r>
              <w:rPr>
                <w:rFonts w:ascii="Arial" w:hAnsi="Arial"/>
                <w:b/>
                <w:color w:val="000000"/>
                <w:sz w:val="16"/>
              </w:rPr>
              <w:t>Scenario</w:t>
            </w:r>
          </w:p>
        </w:tc>
        <w:tc>
          <w:tcPr>
            <w:tcW w:type="dxa" w:w="6917"/>
          </w:tcPr>
          <w:p>
            <w:pPr>
              <w:keepNext/>
              <w:spacing w:after="20" w:line="245" w:lineRule="auto"/>
            </w:pPr>
            <w:r>
              <w:rPr>
                <w:rFonts w:ascii="Arial" w:hAnsi="Arial"/>
                <w:b/>
                <w:color w:val="000000"/>
                <w:sz w:val="16"/>
              </w:rPr>
              <w:t>Task success criterion</w:t>
            </w:r>
          </w:p>
        </w:tc>
      </w:tr>
      <w:tr>
        <w:trPr>
          <w:cantSplit/>
        </w:trPr>
        <w:tc>
          <w:tcPr>
            <w:tcW w:type="dxa" w:w="2891"/>
            <w:vAlign w:val="top"/>
          </w:tcPr>
          <w:p>
            <w:pPr>
              <w:spacing w:after="20" w:line="245" w:lineRule="auto"/>
            </w:pPr>
            <w:r>
              <w:rPr>
                <w:rFonts w:ascii="Arial" w:hAnsi="Arial"/>
                <w:color w:val="000000"/>
                <w:sz w:val="16"/>
              </w:rPr>
              <w:t>Customer requests repair</w:t>
            </w:r>
          </w:p>
        </w:tc>
        <w:tc>
          <w:tcPr>
            <w:tcW w:type="dxa" w:w="6917"/>
            <w:vAlign w:val="top"/>
          </w:tcPr>
          <w:p>
            <w:pPr>
              <w:spacing w:after="20" w:line="245" w:lineRule="auto"/>
            </w:pPr>
            <w:r>
              <w:rPr>
                <w:rFonts w:ascii="Arial" w:hAnsi="Arial"/>
                <w:color w:val="000000"/>
                <w:sz w:val="16"/>
              </w:rPr>
              <w:t>Completes RU or KK form, receives confirmation and case ID; manager sees same case.</w:t>
            </w:r>
          </w:p>
        </w:tc>
      </w:tr>
      <w:tr>
        <w:trPr>
          <w:cantSplit/>
        </w:trPr>
        <w:tc>
          <w:tcPr>
            <w:tcW w:type="dxa" w:w="2891"/>
            <w:vAlign w:val="top"/>
          </w:tcPr>
          <w:p>
            <w:pPr>
              <w:spacing w:after="20" w:line="245" w:lineRule="auto"/>
            </w:pPr>
            <w:r>
              <w:rPr>
                <w:rFonts w:ascii="Arial" w:hAnsi="Arial"/>
                <w:color w:val="000000"/>
                <w:sz w:val="16"/>
              </w:rPr>
              <w:t>Manager schedules visit</w:t>
            </w:r>
          </w:p>
        </w:tc>
        <w:tc>
          <w:tcPr>
            <w:tcW w:type="dxa" w:w="6917"/>
            <w:vAlign w:val="top"/>
          </w:tcPr>
          <w:p>
            <w:pPr>
              <w:spacing w:after="20" w:line="245" w:lineRule="auto"/>
            </w:pPr>
            <w:r>
              <w:rPr>
                <w:rFonts w:ascii="Arial" w:hAnsi="Arial"/>
                <w:color w:val="000000"/>
                <w:sz w:val="16"/>
              </w:rPr>
              <w:t>Finds new case, assigns worker and slot, then verifies both in case history.</w:t>
            </w:r>
          </w:p>
        </w:tc>
      </w:tr>
      <w:tr>
        <w:trPr>
          <w:cantSplit/>
        </w:trPr>
        <w:tc>
          <w:tcPr>
            <w:tcW w:type="dxa" w:w="2891"/>
            <w:vAlign w:val="top"/>
          </w:tcPr>
          <w:p>
            <w:pPr>
              <w:spacing w:after="20" w:line="245" w:lineRule="auto"/>
            </w:pPr>
            <w:r>
              <w:rPr>
                <w:rFonts w:ascii="Arial" w:hAnsi="Arial"/>
                <w:color w:val="000000"/>
                <w:sz w:val="16"/>
              </w:rPr>
              <w:t>Worker reports progress</w:t>
            </w:r>
          </w:p>
        </w:tc>
        <w:tc>
          <w:tcPr>
            <w:tcW w:type="dxa" w:w="6917"/>
            <w:vAlign w:val="top"/>
          </w:tcPr>
          <w:p>
            <w:pPr>
              <w:spacing w:after="20" w:line="245" w:lineRule="auto"/>
            </w:pPr>
            <w:r>
              <w:rPr>
                <w:rFonts w:ascii="Arial" w:hAnsi="Arial"/>
                <w:color w:val="000000"/>
                <w:sz w:val="16"/>
              </w:rPr>
              <w:t>Manager records departure/arrival/result with event time; previous events remain visible.</w:t>
            </w:r>
          </w:p>
        </w:tc>
      </w:tr>
      <w:tr>
        <w:trPr>
          <w:cantSplit/>
        </w:trPr>
        <w:tc>
          <w:tcPr>
            <w:tcW w:type="dxa" w:w="2891"/>
            <w:vAlign w:val="top"/>
          </w:tcPr>
          <w:p>
            <w:pPr>
              <w:spacing w:after="20" w:line="245" w:lineRule="auto"/>
            </w:pPr>
            <w:r>
              <w:rPr>
                <w:rFonts w:ascii="Arial" w:hAnsi="Arial"/>
                <w:color w:val="000000"/>
                <w:sz w:val="16"/>
              </w:rPr>
              <w:t>Administrator checks workload</w:t>
            </w:r>
          </w:p>
        </w:tc>
        <w:tc>
          <w:tcPr>
            <w:tcW w:type="dxa" w:w="6917"/>
            <w:vAlign w:val="top"/>
          </w:tcPr>
          <w:p>
            <w:pPr>
              <w:spacing w:after="20" w:line="245" w:lineRule="auto"/>
            </w:pPr>
            <w:r>
              <w:rPr>
                <w:rFonts w:ascii="Arial" w:hAnsi="Arial"/>
                <w:color w:val="000000"/>
                <w:sz w:val="16"/>
              </w:rPr>
              <w:t>Opens period view and matches totals to underlying cases.</w:t>
            </w:r>
          </w:p>
        </w:tc>
      </w:tr>
    </w:tbl>
    <w:p>
      <w:pPr>
        <w:spacing w:after="0"/>
      </w:pPr>
    </w:p>
    <w:p>
      <w:pPr>
        <w:pStyle w:val="Heading1"/>
      </w:pPr>
      <w:r>
        <w:t>9. Verification plan and baseline</w:t>
      </w:r>
    </w:p>
    <w:p>
      <w:r>
        <w:t>Two baselines must be kept separate. Technical baseline: the existing static snapshot and its audit figures in Section 2; forms and CRM persistence are not proven there. Operational baseline: current time from request to assignment, missed hand-offs and staff effort; no measured values are available yet. Record these with the company before claiming improvement.</w:t>
      </w:r>
    </w:p>
    <w:tbl>
      <w:tblPr>
        <w:tblStyle w:val="TableGrid"/>
        <w:tblW w:type="auto" w:w="0"/>
        <w:jc w:val="center"/>
        <w:tblLayout w:type="fixed"/>
        <w:tblLook w:firstColumn="1" w:firstRow="1" w:lastColumn="0" w:lastRow="0" w:noHBand="0" w:noVBand="1" w:val="04A0"/>
      </w:tblPr>
      <w:tblGrid>
        <w:gridCol w:w="4904"/>
        <w:gridCol w:w="4904"/>
      </w:tblGrid>
      <w:tr>
        <w:trPr>
          <w:cantSplit/>
        </w:trPr>
        <w:tc>
          <w:tcPr>
            <w:tcW w:type="dxa" w:w="2438"/>
          </w:tcPr>
          <w:p>
            <w:pPr>
              <w:keepNext/>
              <w:spacing w:after="20" w:line="245" w:lineRule="auto"/>
            </w:pPr>
            <w:r>
              <w:rPr>
                <w:rFonts w:ascii="Arial" w:hAnsi="Arial"/>
                <w:b/>
                <w:color w:val="000000"/>
                <w:sz w:val="16"/>
              </w:rPr>
              <w:t>Method / metric</w:t>
            </w:r>
          </w:p>
        </w:tc>
        <w:tc>
          <w:tcPr>
            <w:tcW w:type="dxa" w:w="7370"/>
          </w:tcPr>
          <w:p>
            <w:pPr>
              <w:keepNext/>
              <w:spacing w:after="20" w:line="245" w:lineRule="auto"/>
            </w:pPr>
            <w:r>
              <w:rPr>
                <w:rFonts w:ascii="Arial" w:hAnsi="Arial"/>
                <w:b/>
                <w:color w:val="000000"/>
                <w:sz w:val="16"/>
              </w:rPr>
              <w:t>Procedure and evidence</w:t>
            </w:r>
          </w:p>
        </w:tc>
      </w:tr>
      <w:tr>
        <w:trPr>
          <w:cantSplit/>
        </w:trPr>
        <w:tc>
          <w:tcPr>
            <w:tcW w:type="dxa" w:w="2438"/>
            <w:vAlign w:val="top"/>
          </w:tcPr>
          <w:p>
            <w:pPr>
              <w:spacing w:after="20" w:line="245" w:lineRule="auto"/>
            </w:pPr>
            <w:r>
              <w:rPr>
                <w:rFonts w:ascii="Arial" w:hAnsi="Arial"/>
                <w:color w:val="000000"/>
                <w:sz w:val="16"/>
              </w:rPr>
              <w:t>Functional checks</w:t>
            </w:r>
          </w:p>
        </w:tc>
        <w:tc>
          <w:tcPr>
            <w:tcW w:type="dxa" w:w="7370"/>
            <w:vAlign w:val="top"/>
          </w:tcPr>
          <w:p>
            <w:pPr>
              <w:spacing w:after="20" w:line="245" w:lineRule="auto"/>
            </w:pPr>
            <w:r>
              <w:rPr>
                <w:rFonts w:ascii="Arial" w:hAnsi="Arial"/>
                <w:color w:val="000000"/>
                <w:sz w:val="16"/>
              </w:rPr>
              <w:t>Run F01–F12 acceptance scenarios with synthetic data; save date, build, expected/actual result and defect link.</w:t>
            </w:r>
          </w:p>
        </w:tc>
      </w:tr>
      <w:tr>
        <w:trPr>
          <w:cantSplit/>
        </w:trPr>
        <w:tc>
          <w:tcPr>
            <w:tcW w:type="dxa" w:w="2438"/>
            <w:vAlign w:val="top"/>
          </w:tcPr>
          <w:p>
            <w:pPr>
              <w:spacing w:after="20" w:line="245" w:lineRule="auto"/>
            </w:pPr>
            <w:r>
              <w:rPr>
                <w:rFonts w:ascii="Arial" w:hAnsi="Arial"/>
                <w:color w:val="000000"/>
                <w:sz w:val="16"/>
              </w:rPr>
              <w:t>Access and integrity</w:t>
            </w:r>
          </w:p>
        </w:tc>
        <w:tc>
          <w:tcPr>
            <w:tcW w:type="dxa" w:w="7370"/>
            <w:vAlign w:val="top"/>
          </w:tcPr>
          <w:p>
            <w:pPr>
              <w:spacing w:after="20" w:line="245" w:lineRule="auto"/>
            </w:pPr>
            <w:r>
              <w:rPr>
                <w:rFonts w:ascii="Arial" w:hAnsi="Arial"/>
                <w:color w:val="000000"/>
                <w:sz w:val="16"/>
              </w:rPr>
              <w:t>Test anonymous/manager/admin permissions, invalid input, duplicate submission, forbidden status transitions, and event-history persistence after reload.</w:t>
            </w:r>
          </w:p>
        </w:tc>
      </w:tr>
      <w:tr>
        <w:trPr>
          <w:cantSplit/>
        </w:trPr>
        <w:tc>
          <w:tcPr>
            <w:tcW w:type="dxa" w:w="2438"/>
            <w:vAlign w:val="top"/>
          </w:tcPr>
          <w:p>
            <w:pPr>
              <w:spacing w:after="20" w:line="245" w:lineRule="auto"/>
            </w:pPr>
            <w:r>
              <w:rPr>
                <w:rFonts w:ascii="Arial" w:hAnsi="Arial"/>
                <w:color w:val="000000"/>
                <w:sz w:val="16"/>
              </w:rPr>
              <w:t>Usability</w:t>
            </w:r>
          </w:p>
        </w:tc>
        <w:tc>
          <w:tcPr>
            <w:tcW w:type="dxa" w:w="7370"/>
            <w:vAlign w:val="top"/>
          </w:tcPr>
          <w:p>
            <w:pPr>
              <w:spacing w:after="20" w:line="245" w:lineRule="auto"/>
            </w:pPr>
            <w:r>
              <w:rPr>
                <w:rFonts w:ascii="Arial" w:hAnsi="Arial"/>
                <w:color w:val="000000"/>
                <w:sz w:val="16"/>
              </w:rPr>
              <w:t>Ask available staff to complete queue/visit tasks and, if possible, at least five external users to complete a public request. Measure completion, time, errors and 1–5 ease rating. These are proposed samples, not completed tests.</w:t>
            </w:r>
          </w:p>
        </w:tc>
      </w:tr>
      <w:tr>
        <w:trPr>
          <w:cantSplit/>
        </w:trPr>
        <w:tc>
          <w:tcPr>
            <w:tcW w:type="dxa" w:w="2438"/>
            <w:vAlign w:val="top"/>
          </w:tcPr>
          <w:p>
            <w:pPr>
              <w:spacing w:after="20" w:line="245" w:lineRule="auto"/>
            </w:pPr>
            <w:r>
              <w:rPr>
                <w:rFonts w:ascii="Arial" w:hAnsi="Arial"/>
                <w:color w:val="000000"/>
                <w:sz w:val="16"/>
              </w:rPr>
              <w:t>Localisation/accessibility</w:t>
            </w:r>
          </w:p>
        </w:tc>
        <w:tc>
          <w:tcPr>
            <w:tcW w:type="dxa" w:w="7370"/>
            <w:vAlign w:val="top"/>
          </w:tcPr>
          <w:p>
            <w:pPr>
              <w:spacing w:after="20" w:line="245" w:lineRule="auto"/>
            </w:pPr>
            <w:r>
              <w:rPr>
                <w:rFonts w:ascii="Arial" w:hAnsi="Arial"/>
                <w:color w:val="000000"/>
                <w:sz w:val="16"/>
              </w:rPr>
              <w:t>Review both languages for completeness and terminology; test keyboard navigation, labels, focus and contrast on the four core screens [12].</w:t>
            </w:r>
          </w:p>
        </w:tc>
      </w:tr>
      <w:tr>
        <w:trPr>
          <w:cantSplit/>
        </w:trPr>
        <w:tc>
          <w:tcPr>
            <w:tcW w:type="dxa" w:w="2438"/>
            <w:vAlign w:val="top"/>
          </w:tcPr>
          <w:p>
            <w:pPr>
              <w:spacing w:after="20" w:line="245" w:lineRule="auto"/>
            </w:pPr>
            <w:r>
              <w:rPr>
                <w:rFonts w:ascii="Arial" w:hAnsi="Arial"/>
                <w:color w:val="000000"/>
                <w:sz w:val="16"/>
              </w:rPr>
              <w:t>Performance/recovery</w:t>
            </w:r>
          </w:p>
        </w:tc>
        <w:tc>
          <w:tcPr>
            <w:tcW w:type="dxa" w:w="7370"/>
            <w:vAlign w:val="top"/>
          </w:tcPr>
          <w:p>
            <w:pPr>
              <w:spacing w:after="20" w:line="245" w:lineRule="auto"/>
            </w:pPr>
            <w:r>
              <w:rPr>
                <w:rFonts w:ascii="Arial" w:hAnsi="Arial"/>
                <w:color w:val="000000"/>
                <w:sz w:val="16"/>
              </w:rPr>
              <w:t>Agree representative data volume and device/network; record load time with median and worst observed run; restore a sample backup and compare case/event counts.</w:t>
            </w:r>
          </w:p>
        </w:tc>
      </w:tr>
    </w:tbl>
    <w:p>
      <w:pPr>
        <w:spacing w:after="0"/>
      </w:pPr>
    </w:p>
    <w:p>
      <w:r>
        <w:t>Comparison rule: only compare a later pilot with a measured operational baseline using the same task definitions. Report raw counts and sample size even when results are unfavourable. No measured improvement or customer satisfaction is claimed in this dossier.</w:t>
      </w:r>
    </w:p>
    <w:p>
      <w:pPr>
        <w:pStyle w:val="Heading1"/>
      </w:pPr>
      <w:r>
        <w:t>10. Repository, task tracking and risk plan</w:t>
      </w:r>
    </w:p>
    <w:p>
      <w:r>
        <w:t>Repository: https://github.com/Gapo-7/DIPLOMA. Stages 1–7 form the static-source history. A working backend, CRM and test evidence must be separately traceable through issues/tasks, branches, PRs, reviewer and commit links. YouTrack project ALAU now contains 15 open tasks (ALAU-1 to ALAU-15); the plan codes below remain planning labels. The final repository package should include README, requirements, diagrams, source list, test evidence, the YouTrack project link (https://gapar1.youtrack.cloud/projects/ALAU) and a checkpoint tag after review.</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1871"/>
          </w:tcPr>
          <w:p>
            <w:pPr>
              <w:keepNext/>
              <w:spacing w:after="20" w:line="245" w:lineRule="auto"/>
            </w:pPr>
            <w:r>
              <w:rPr>
                <w:rFonts w:ascii="Arial" w:hAnsi="Arial"/>
                <w:b/>
                <w:color w:val="000000"/>
                <w:sz w:val="16"/>
              </w:rPr>
              <w:t>Plan code / owner</w:t>
            </w:r>
          </w:p>
        </w:tc>
        <w:tc>
          <w:tcPr>
            <w:tcW w:type="dxa" w:w="3118"/>
          </w:tcPr>
          <w:p>
            <w:pPr>
              <w:keepNext/>
              <w:spacing w:after="20" w:line="245" w:lineRule="auto"/>
            </w:pPr>
            <w:r>
              <w:rPr>
                <w:rFonts w:ascii="Arial" w:hAnsi="Arial"/>
                <w:b/>
                <w:color w:val="000000"/>
                <w:sz w:val="16"/>
              </w:rPr>
              <w:t>Deliverable</w:t>
            </w:r>
          </w:p>
        </w:tc>
        <w:tc>
          <w:tcPr>
            <w:tcW w:type="dxa" w:w="4819"/>
          </w:tcPr>
          <w:p>
            <w:pPr>
              <w:keepNext/>
              <w:spacing w:after="20" w:line="245" w:lineRule="auto"/>
            </w:pPr>
            <w:r>
              <w:rPr>
                <w:rFonts w:ascii="Arial" w:hAnsi="Arial"/>
                <w:b/>
                <w:color w:val="000000"/>
                <w:sz w:val="16"/>
              </w:rPr>
              <w:t>Acceptance / target</w:t>
            </w:r>
          </w:p>
        </w:tc>
      </w:tr>
      <w:tr>
        <w:trPr>
          <w:cantSplit/>
        </w:trPr>
        <w:tc>
          <w:tcPr>
            <w:tcW w:type="dxa" w:w="1871"/>
            <w:vAlign w:val="top"/>
          </w:tcPr>
          <w:p>
            <w:pPr>
              <w:spacing w:after="20" w:line="245" w:lineRule="auto"/>
            </w:pPr>
            <w:r>
              <w:rPr>
                <w:rFonts w:ascii="Arial" w:hAnsi="Arial"/>
                <w:color w:val="000000"/>
                <w:sz w:val="16"/>
              </w:rPr>
              <w:t>P01 Gapar</w:t>
            </w:r>
          </w:p>
        </w:tc>
        <w:tc>
          <w:tcPr>
            <w:tcW w:type="dxa" w:w="3118"/>
            <w:vAlign w:val="top"/>
          </w:tcPr>
          <w:p>
            <w:pPr>
              <w:spacing w:after="20" w:line="245" w:lineRule="auto"/>
            </w:pPr>
            <w:r>
              <w:rPr>
                <w:rFonts w:ascii="Arial" w:hAnsi="Arial"/>
                <w:color w:val="000000"/>
                <w:sz w:val="16"/>
              </w:rPr>
              <w:t>Confirm customer workflow and log meeting</w:t>
            </w:r>
          </w:p>
        </w:tc>
        <w:tc>
          <w:tcPr>
            <w:tcW w:type="dxa" w:w="4819"/>
            <w:vAlign w:val="top"/>
          </w:tcPr>
          <w:p>
            <w:pPr>
              <w:spacing w:after="20" w:line="245" w:lineRule="auto"/>
            </w:pPr>
            <w:r>
              <w:rPr>
                <w:rFonts w:ascii="Arial" w:hAnsi="Arial"/>
                <w:color w:val="000000"/>
                <w:sz w:val="16"/>
              </w:rPr>
              <w:t>Dated notes, company role, agreed/changed requirements; 15–17 Oct.</w:t>
            </w:r>
          </w:p>
        </w:tc>
      </w:tr>
      <w:tr>
        <w:trPr>
          <w:cantSplit/>
        </w:trPr>
        <w:tc>
          <w:tcPr>
            <w:tcW w:type="dxa" w:w="1871"/>
            <w:vAlign w:val="top"/>
          </w:tcPr>
          <w:p>
            <w:pPr>
              <w:spacing w:after="20" w:line="245" w:lineRule="auto"/>
            </w:pPr>
            <w:r>
              <w:rPr>
                <w:rFonts w:ascii="Arial" w:hAnsi="Arial"/>
                <w:color w:val="000000"/>
                <w:sz w:val="16"/>
              </w:rPr>
              <w:t>P02 Ramazan</w:t>
            </w:r>
          </w:p>
        </w:tc>
        <w:tc>
          <w:tcPr>
            <w:tcW w:type="dxa" w:w="3118"/>
            <w:vAlign w:val="top"/>
          </w:tcPr>
          <w:p>
            <w:pPr>
              <w:spacing w:after="20" w:line="245" w:lineRule="auto"/>
            </w:pPr>
            <w:r>
              <w:rPr>
                <w:rFonts w:ascii="Arial" w:hAnsi="Arial"/>
                <w:color w:val="000000"/>
                <w:sz w:val="16"/>
              </w:rPr>
              <w:t>Comparable systems and UX revision</w:t>
            </w:r>
          </w:p>
        </w:tc>
        <w:tc>
          <w:tcPr>
            <w:tcW w:type="dxa" w:w="4819"/>
            <w:vAlign w:val="top"/>
          </w:tcPr>
          <w:p>
            <w:pPr>
              <w:spacing w:after="20" w:line="245" w:lineRule="auto"/>
            </w:pPr>
            <w:r>
              <w:rPr>
                <w:rFonts w:ascii="Arial" w:hAnsi="Arial"/>
                <w:color w:val="000000"/>
                <w:sz w:val="16"/>
              </w:rPr>
              <w:t>Source links and four reviewed wireframes; 17–19 Oct.</w:t>
            </w:r>
          </w:p>
        </w:tc>
      </w:tr>
      <w:tr>
        <w:trPr>
          <w:cantSplit/>
        </w:trPr>
        <w:tc>
          <w:tcPr>
            <w:tcW w:type="dxa" w:w="1871"/>
            <w:vAlign w:val="top"/>
          </w:tcPr>
          <w:p>
            <w:pPr>
              <w:spacing w:after="20" w:line="245" w:lineRule="auto"/>
            </w:pPr>
            <w:r>
              <w:rPr>
                <w:rFonts w:ascii="Arial" w:hAnsi="Arial"/>
                <w:color w:val="000000"/>
                <w:sz w:val="16"/>
              </w:rPr>
              <w:t>P03 Gapar</w:t>
            </w:r>
          </w:p>
        </w:tc>
        <w:tc>
          <w:tcPr>
            <w:tcW w:type="dxa" w:w="3118"/>
            <w:vAlign w:val="top"/>
          </w:tcPr>
          <w:p>
            <w:pPr>
              <w:spacing w:after="20" w:line="245" w:lineRule="auto"/>
            </w:pPr>
            <w:r>
              <w:rPr>
                <w:rFonts w:ascii="Arial" w:hAnsi="Arial"/>
                <w:color w:val="000000"/>
                <w:sz w:val="16"/>
              </w:rPr>
              <w:t>Data/role model and CRM proof of concept</w:t>
            </w:r>
          </w:p>
        </w:tc>
        <w:tc>
          <w:tcPr>
            <w:tcW w:type="dxa" w:w="4819"/>
            <w:vAlign w:val="top"/>
          </w:tcPr>
          <w:p>
            <w:pPr>
              <w:spacing w:after="20" w:line="245" w:lineRule="auto"/>
            </w:pPr>
            <w:r>
              <w:rPr>
                <w:rFonts w:ascii="Arial" w:hAnsi="Arial"/>
                <w:color w:val="000000"/>
                <w:sz w:val="16"/>
              </w:rPr>
              <w:t>Schema, F05/F08/F09 demonstration, tests; after checkpoint.</w:t>
            </w:r>
          </w:p>
        </w:tc>
      </w:tr>
      <w:tr>
        <w:trPr>
          <w:cantSplit/>
        </w:trPr>
        <w:tc>
          <w:tcPr>
            <w:tcW w:type="dxa" w:w="1871"/>
            <w:vAlign w:val="top"/>
          </w:tcPr>
          <w:p>
            <w:pPr>
              <w:spacing w:after="20" w:line="245" w:lineRule="auto"/>
            </w:pPr>
            <w:r>
              <w:rPr>
                <w:rFonts w:ascii="Arial" w:hAnsi="Arial"/>
                <w:color w:val="000000"/>
                <w:sz w:val="16"/>
              </w:rPr>
              <w:t>P04 Ramazan</w:t>
            </w:r>
          </w:p>
        </w:tc>
        <w:tc>
          <w:tcPr>
            <w:tcW w:type="dxa" w:w="3118"/>
            <w:vAlign w:val="top"/>
          </w:tcPr>
          <w:p>
            <w:pPr>
              <w:spacing w:after="20" w:line="245" w:lineRule="auto"/>
            </w:pPr>
            <w:r>
              <w:rPr>
                <w:rFonts w:ascii="Arial" w:hAnsi="Arial"/>
                <w:color w:val="000000"/>
                <w:sz w:val="16"/>
              </w:rPr>
              <w:t>RU/KK public and staff interface</w:t>
            </w:r>
          </w:p>
        </w:tc>
        <w:tc>
          <w:tcPr>
            <w:tcW w:type="dxa" w:w="4819"/>
            <w:vAlign w:val="top"/>
          </w:tcPr>
          <w:p>
            <w:pPr>
              <w:spacing w:after="20" w:line="245" w:lineRule="auto"/>
            </w:pPr>
            <w:r>
              <w:rPr>
                <w:rFonts w:ascii="Arial" w:hAnsi="Arial"/>
                <w:color w:val="000000"/>
                <w:sz w:val="16"/>
              </w:rPr>
              <w:t>F01–F04/F06 flows, language checks; after checkpoint.</w:t>
            </w:r>
          </w:p>
        </w:tc>
      </w:tr>
      <w:tr>
        <w:trPr>
          <w:cantSplit/>
        </w:trPr>
        <w:tc>
          <w:tcPr>
            <w:tcW w:type="dxa" w:w="1871"/>
            <w:vAlign w:val="top"/>
          </w:tcPr>
          <w:p>
            <w:pPr>
              <w:spacing w:after="20" w:line="245" w:lineRule="auto"/>
            </w:pPr>
            <w:r>
              <w:rPr>
                <w:rFonts w:ascii="Arial" w:hAnsi="Arial"/>
                <w:color w:val="000000"/>
                <w:sz w:val="16"/>
              </w:rPr>
              <w:t>P05 Both</w:t>
            </w:r>
          </w:p>
        </w:tc>
        <w:tc>
          <w:tcPr>
            <w:tcW w:type="dxa" w:w="3118"/>
            <w:vAlign w:val="top"/>
          </w:tcPr>
          <w:p>
            <w:pPr>
              <w:spacing w:after="20" w:line="245" w:lineRule="auto"/>
            </w:pPr>
            <w:r>
              <w:rPr>
                <w:rFonts w:ascii="Arial" w:hAnsi="Arial"/>
                <w:color w:val="000000"/>
                <w:sz w:val="16"/>
              </w:rPr>
              <w:t>Literature, decisions and verification dossier</w:t>
            </w:r>
          </w:p>
        </w:tc>
        <w:tc>
          <w:tcPr>
            <w:tcW w:type="dxa" w:w="4819"/>
            <w:vAlign w:val="top"/>
          </w:tcPr>
          <w:p>
            <w:pPr>
              <w:spacing w:after="20" w:line="245" w:lineRule="auto"/>
            </w:pPr>
            <w:r>
              <w:rPr>
                <w:rFonts w:ascii="Arial" w:hAnsi="Arial"/>
                <w:color w:val="000000"/>
                <w:sz w:val="16"/>
              </w:rPr>
              <w:t>This document revised from evidence; supervisor comments logged; by 20 Oct.</w:t>
            </w:r>
          </w:p>
        </w:tc>
      </w:tr>
      <w:tr>
        <w:trPr>
          <w:cantSplit/>
        </w:trPr>
        <w:tc>
          <w:tcPr>
            <w:tcW w:type="dxa" w:w="1871"/>
            <w:vAlign w:val="top"/>
          </w:tcPr>
          <w:p>
            <w:pPr>
              <w:spacing w:after="20" w:line="245" w:lineRule="auto"/>
            </w:pPr>
            <w:r>
              <w:rPr>
                <w:rFonts w:ascii="Arial" w:hAnsi="Arial"/>
                <w:color w:val="000000"/>
                <w:sz w:val="16"/>
              </w:rPr>
              <w:t>P06 Both</w:t>
            </w:r>
          </w:p>
        </w:tc>
        <w:tc>
          <w:tcPr>
            <w:tcW w:type="dxa" w:w="3118"/>
            <w:vAlign w:val="top"/>
          </w:tcPr>
          <w:p>
            <w:pPr>
              <w:spacing w:after="20" w:line="245" w:lineRule="auto"/>
            </w:pPr>
            <w:r>
              <w:rPr>
                <w:rFonts w:ascii="Arial" w:hAnsi="Arial"/>
                <w:color w:val="000000"/>
                <w:sz w:val="16"/>
              </w:rPr>
              <w:t>Repository checkpoint package</w:t>
            </w:r>
          </w:p>
        </w:tc>
        <w:tc>
          <w:tcPr>
            <w:tcW w:type="dxa" w:w="4819"/>
            <w:vAlign w:val="top"/>
          </w:tcPr>
          <w:p>
            <w:pPr>
              <w:spacing w:after="20" w:line="245" w:lineRule="auto"/>
            </w:pPr>
            <w:r>
              <w:rPr>
                <w:rFonts w:ascii="Arial" w:hAnsi="Arial"/>
                <w:color w:val="000000"/>
                <w:sz w:val="16"/>
              </w:rPr>
              <w:t>README, docs, diagrams, task link and tag; by 24 Oct.</w:t>
            </w:r>
          </w:p>
        </w:tc>
      </w:tr>
    </w:tbl>
    <w:p>
      <w:pPr>
        <w:spacing w:after="0"/>
      </w:pPr>
    </w:p>
    <w:tbl>
      <w:tblPr>
        <w:tblStyle w:val="TableGrid"/>
        <w:tblW w:type="auto" w:w="0"/>
        <w:jc w:val="center"/>
        <w:tblLayout w:type="fixed"/>
        <w:tblLook w:firstColumn="1" w:firstRow="1" w:lastColumn="0" w:lastRow="0" w:noHBand="0" w:noVBand="1" w:val="04A0"/>
      </w:tblPr>
      <w:tblGrid>
        <w:gridCol w:w="4904"/>
        <w:gridCol w:w="4904"/>
      </w:tblGrid>
      <w:tr>
        <w:trPr>
          <w:cantSplit/>
        </w:trPr>
        <w:tc>
          <w:tcPr>
            <w:tcW w:type="dxa" w:w="3515"/>
          </w:tcPr>
          <w:p>
            <w:pPr>
              <w:keepNext/>
              <w:spacing w:after="20" w:line="245" w:lineRule="auto"/>
            </w:pPr>
            <w:r>
              <w:rPr>
                <w:rFonts w:ascii="Arial" w:hAnsi="Arial"/>
                <w:b/>
                <w:color w:val="000000"/>
                <w:sz w:val="16"/>
              </w:rPr>
              <w:t>Risk</w:t>
            </w:r>
          </w:p>
        </w:tc>
        <w:tc>
          <w:tcPr>
            <w:tcW w:type="dxa" w:w="6293"/>
          </w:tcPr>
          <w:p>
            <w:pPr>
              <w:keepNext/>
              <w:spacing w:after="20" w:line="245" w:lineRule="auto"/>
            </w:pPr>
            <w:r>
              <w:rPr>
                <w:rFonts w:ascii="Arial" w:hAnsi="Arial"/>
                <w:b/>
                <w:color w:val="000000"/>
                <w:sz w:val="16"/>
              </w:rPr>
              <w:t>Response / owner</w:t>
            </w:r>
          </w:p>
        </w:tc>
      </w:tr>
      <w:tr>
        <w:trPr>
          <w:cantSplit/>
        </w:trPr>
        <w:tc>
          <w:tcPr>
            <w:tcW w:type="dxa" w:w="3515"/>
            <w:vAlign w:val="top"/>
          </w:tcPr>
          <w:p>
            <w:pPr>
              <w:spacing w:after="20" w:line="245" w:lineRule="auto"/>
            </w:pPr>
            <w:r>
              <w:rPr>
                <w:rFonts w:ascii="Arial" w:hAnsi="Arial"/>
                <w:color w:val="000000"/>
                <w:sz w:val="16"/>
              </w:rPr>
              <w:t>Customer workflow differs from assumed manager hand-off</w:t>
            </w:r>
          </w:p>
        </w:tc>
        <w:tc>
          <w:tcPr>
            <w:tcW w:type="dxa" w:w="6293"/>
            <w:vAlign w:val="top"/>
          </w:tcPr>
          <w:p>
            <w:pPr>
              <w:spacing w:after="20" w:line="245" w:lineRule="auto"/>
            </w:pPr>
            <w:r>
              <w:rPr>
                <w:rFonts w:ascii="Arial" w:hAnsi="Arial"/>
                <w:color w:val="000000"/>
                <w:sz w:val="16"/>
              </w:rPr>
              <w:t>Interview representative and staff before finalising F08–F10; Gapar.</w:t>
            </w:r>
          </w:p>
        </w:tc>
      </w:tr>
      <w:tr>
        <w:trPr>
          <w:cantSplit/>
        </w:trPr>
        <w:tc>
          <w:tcPr>
            <w:tcW w:type="dxa" w:w="3515"/>
            <w:vAlign w:val="top"/>
          </w:tcPr>
          <w:p>
            <w:pPr>
              <w:spacing w:after="20" w:line="245" w:lineRule="auto"/>
            </w:pPr>
            <w:r>
              <w:rPr>
                <w:rFonts w:ascii="Arial" w:hAnsi="Arial"/>
                <w:color w:val="000000"/>
                <w:sz w:val="16"/>
              </w:rPr>
              <w:t>CRM scope exceeds two-person capacity</w:t>
            </w:r>
          </w:p>
        </w:tc>
        <w:tc>
          <w:tcPr>
            <w:tcW w:type="dxa" w:w="6293"/>
            <w:vAlign w:val="top"/>
          </w:tcPr>
          <w:p>
            <w:pPr>
              <w:spacing w:after="20" w:line="245" w:lineRule="auto"/>
            </w:pPr>
            <w:r>
              <w:rPr>
                <w:rFonts w:ascii="Arial" w:hAnsi="Arial"/>
                <w:color w:val="000000"/>
                <w:sz w:val="16"/>
              </w:rPr>
              <w:t>Deliver P1 path first; defer analytics and integrations; both.</w:t>
            </w:r>
          </w:p>
        </w:tc>
      </w:tr>
      <w:tr>
        <w:trPr>
          <w:cantSplit/>
        </w:trPr>
        <w:tc>
          <w:tcPr>
            <w:tcW w:type="dxa" w:w="3515"/>
            <w:vAlign w:val="top"/>
          </w:tcPr>
          <w:p>
            <w:pPr>
              <w:spacing w:after="20" w:line="245" w:lineRule="auto"/>
            </w:pPr>
            <w:r>
              <w:rPr>
                <w:rFonts w:ascii="Arial" w:hAnsi="Arial"/>
                <w:color w:val="000000"/>
                <w:sz w:val="16"/>
              </w:rPr>
              <w:t>Archive mistaken for operational software</w:t>
            </w:r>
          </w:p>
        </w:tc>
        <w:tc>
          <w:tcPr>
            <w:tcW w:type="dxa" w:w="6293"/>
            <w:vAlign w:val="top"/>
          </w:tcPr>
          <w:p>
            <w:pPr>
              <w:spacing w:after="20" w:line="245" w:lineRule="auto"/>
            </w:pPr>
            <w:r>
              <w:rPr>
                <w:rFonts w:ascii="Arial" w:hAnsi="Arial"/>
                <w:color w:val="000000"/>
                <w:sz w:val="16"/>
              </w:rPr>
              <w:t>Label snapshot clearly; show separate functional tests; both.</w:t>
            </w:r>
          </w:p>
        </w:tc>
      </w:tr>
      <w:tr>
        <w:trPr>
          <w:cantSplit/>
        </w:trPr>
        <w:tc>
          <w:tcPr>
            <w:tcW w:type="dxa" w:w="3515"/>
            <w:vAlign w:val="top"/>
          </w:tcPr>
          <w:p>
            <w:pPr>
              <w:spacing w:after="20" w:line="245" w:lineRule="auto"/>
            </w:pPr>
            <w:r>
              <w:rPr>
                <w:rFonts w:ascii="Arial" w:hAnsi="Arial"/>
                <w:color w:val="000000"/>
                <w:sz w:val="16"/>
              </w:rPr>
              <w:t>Missing task history or feedback</w:t>
            </w:r>
          </w:p>
        </w:tc>
        <w:tc>
          <w:tcPr>
            <w:tcW w:type="dxa" w:w="6293"/>
            <w:vAlign w:val="top"/>
          </w:tcPr>
          <w:p>
            <w:pPr>
              <w:spacing w:after="20" w:line="245" w:lineRule="auto"/>
            </w:pPr>
            <w:r>
              <w:rPr>
                <w:rFonts w:ascii="Arial" w:hAnsi="Arial"/>
                <w:color w:val="000000"/>
                <w:sz w:val="16"/>
              </w:rPr>
              <w:t>Link the created YouTrack project to GitHub; record supervisor review as pending until received; both.</w:t>
            </w:r>
          </w:p>
        </w:tc>
      </w:tr>
      <w:tr>
        <w:trPr>
          <w:cantSplit/>
        </w:trPr>
        <w:tc>
          <w:tcPr>
            <w:tcW w:type="dxa" w:w="3515"/>
            <w:vAlign w:val="top"/>
          </w:tcPr>
          <w:p>
            <w:pPr>
              <w:spacing w:after="20" w:line="245" w:lineRule="auto"/>
            </w:pPr>
            <w:r>
              <w:rPr>
                <w:rFonts w:ascii="Arial" w:hAnsi="Arial"/>
                <w:color w:val="000000"/>
                <w:sz w:val="16"/>
              </w:rPr>
              <w:t>Personal data or translation errors</w:t>
            </w:r>
          </w:p>
        </w:tc>
        <w:tc>
          <w:tcPr>
            <w:tcW w:type="dxa" w:w="6293"/>
            <w:vAlign w:val="top"/>
          </w:tcPr>
          <w:p>
            <w:pPr>
              <w:spacing w:after="20" w:line="245" w:lineRule="auto"/>
            </w:pPr>
            <w:r>
              <w:rPr>
                <w:rFonts w:ascii="Arial" w:hAnsi="Arial"/>
                <w:color w:val="000000"/>
                <w:sz w:val="16"/>
              </w:rPr>
              <w:t>Use synthetic demos, role checks and approved terminology; Ramazan/Gapar.</w:t>
            </w:r>
          </w:p>
        </w:tc>
      </w:tr>
    </w:tbl>
    <w:p>
      <w:pPr>
        <w:spacing w:after="0"/>
      </w:pPr>
    </w:p>
    <w:p>
      <w:pPr>
        <w:pStyle w:val="Heading1"/>
      </w:pPr>
      <w:r>
        <w:t>11. Supervisor feedback and decisions</w:t>
      </w:r>
    </w:p>
    <w:p>
      <w:r>
        <w:t>No supervisor comments have been received for this version. The following review log is intentionally blank; it should be completed after the supervisor reads the dossier. The team should request confirmation of the project title, role split, scope, customer evidence, requirements and checkpoint format.</w:t>
      </w:r>
    </w:p>
    <w:tbl>
      <w:tblPr>
        <w:tblStyle w:val="TableGrid"/>
        <w:tblW w:type="auto" w:w="0"/>
        <w:jc w:val="center"/>
        <w:tblLayout w:type="fixed"/>
        <w:tblLook w:firstColumn="1" w:firstRow="1" w:lastColumn="0" w:lastRow="0" w:noHBand="0" w:noVBand="1" w:val="04A0"/>
      </w:tblPr>
      <w:tblGrid>
        <w:gridCol w:w="3270"/>
        <w:gridCol w:w="3270"/>
        <w:gridCol w:w="3270"/>
      </w:tblGrid>
      <w:tr>
        <w:trPr>
          <w:cantSplit/>
        </w:trPr>
        <w:tc>
          <w:tcPr>
            <w:tcW w:type="dxa" w:w="1984"/>
          </w:tcPr>
          <w:p>
            <w:pPr>
              <w:keepNext/>
              <w:spacing w:after="20" w:line="245" w:lineRule="auto"/>
            </w:pPr>
            <w:r>
              <w:rPr>
                <w:rFonts w:ascii="Arial" w:hAnsi="Arial"/>
                <w:b/>
                <w:color w:val="000000"/>
                <w:sz w:val="16"/>
              </w:rPr>
              <w:t>Date / reviewer</w:t>
            </w:r>
          </w:p>
        </w:tc>
        <w:tc>
          <w:tcPr>
            <w:tcW w:type="dxa" w:w="4139"/>
          </w:tcPr>
          <w:p>
            <w:pPr>
              <w:keepNext/>
              <w:spacing w:after="20" w:line="245" w:lineRule="auto"/>
            </w:pPr>
            <w:r>
              <w:rPr>
                <w:rFonts w:ascii="Arial" w:hAnsi="Arial"/>
                <w:b/>
                <w:color w:val="000000"/>
                <w:sz w:val="16"/>
              </w:rPr>
              <w:t>Comment or decision</w:t>
            </w:r>
          </w:p>
        </w:tc>
        <w:tc>
          <w:tcPr>
            <w:tcW w:type="dxa" w:w="3685"/>
          </w:tcPr>
          <w:p>
            <w:pPr>
              <w:keepNext/>
              <w:spacing w:after="20" w:line="245" w:lineRule="auto"/>
            </w:pPr>
            <w:r>
              <w:rPr>
                <w:rFonts w:ascii="Arial" w:hAnsi="Arial"/>
                <w:b/>
                <w:color w:val="000000"/>
                <w:sz w:val="16"/>
              </w:rPr>
              <w:t>Change made / evidence</w:t>
            </w:r>
          </w:p>
        </w:tc>
      </w:tr>
      <w:tr>
        <w:trPr>
          <w:cantSplit/>
        </w:trPr>
        <w:tc>
          <w:tcPr>
            <w:tcW w:type="dxa" w:w="1984"/>
            <w:vAlign w:val="top"/>
          </w:tcPr>
          <w:p>
            <w:pPr>
              <w:spacing w:after="20" w:line="245" w:lineRule="auto"/>
            </w:pPr>
            <w:r>
              <w:rPr>
                <w:rFonts w:ascii="Arial" w:hAnsi="Arial"/>
                <w:color w:val="000000"/>
                <w:sz w:val="16"/>
              </w:rPr>
              <w:t>Pending</w:t>
            </w:r>
          </w:p>
        </w:tc>
        <w:tc>
          <w:tcPr>
            <w:tcW w:type="dxa" w:w="4139"/>
            <w:vAlign w:val="top"/>
          </w:tcPr>
          <w:p>
            <w:pPr>
              <w:spacing w:after="20" w:line="245" w:lineRule="auto"/>
            </w:pPr>
            <w:r>
              <w:rPr>
                <w:rFonts w:ascii="Arial" w:hAnsi="Arial"/>
                <w:color w:val="000000"/>
                <w:sz w:val="16"/>
              </w:rPr>
              <w:t>Pending</w:t>
            </w:r>
          </w:p>
        </w:tc>
        <w:tc>
          <w:tcPr>
            <w:tcW w:type="dxa" w:w="3685"/>
            <w:vAlign w:val="top"/>
          </w:tcPr>
          <w:p>
            <w:pPr>
              <w:spacing w:after="20" w:line="245" w:lineRule="auto"/>
            </w:pPr>
            <w:r>
              <w:rPr>
                <w:rFonts w:ascii="Arial" w:hAnsi="Arial"/>
                <w:color w:val="000000"/>
                <w:sz w:val="16"/>
              </w:rPr>
              <w:t>Pending</w:t>
            </w:r>
          </w:p>
        </w:tc>
      </w:tr>
    </w:tbl>
    <w:p>
      <w:pPr>
        <w:spacing w:after="0"/>
      </w:pPr>
    </w:p>
    <w:p>
      <w:pPr>
        <w:pStyle w:val="Heading1"/>
      </w:pPr>
      <w:r>
        <w:t>References</w:t>
      </w:r>
    </w:p>
    <w:p>
      <w:pPr>
        <w:spacing w:after="60"/>
      </w:pPr>
      <w:r>
        <w:rPr>
          <w:sz w:val="16"/>
        </w:rPr>
        <w:t>[1] Mourtzis, D., Angelopoulos, J., &amp; Panopoulos, N. (2021). A survey of digital B2B platforms and marketplaces for purchasing industrial product service systems: A conceptual framework. Procedia CIRP, 97, 331–336. https://doi.org/10.1016/j.procir.2020.05.246</w:t>
      </w:r>
    </w:p>
    <w:p>
      <w:pPr>
        <w:spacing w:after="60"/>
      </w:pPr>
      <w:r>
        <w:rPr>
          <w:sz w:val="16"/>
        </w:rPr>
        <w:t>[2] Raddats, C., Naik, P., &amp; Ziaee Bigdeli, A. (2022). Creating value in servitization through digital service innovations. Industrial Marketing Management, 104, 1–13. https://doi.org/10.1016/j.indmarman.2022.04.002</w:t>
      </w:r>
    </w:p>
    <w:p>
      <w:pPr>
        <w:spacing w:after="60"/>
      </w:pPr>
      <w:r>
        <w:rPr>
          <w:sz w:val="16"/>
        </w:rPr>
        <w:t>[3] Pham, D. T., &amp; Kiesmüller, G. P. (2022). Multiperiod integrated spare parts and tour planning for on-site maintenance activities with stochastic repair requests. Computers &amp; Operations Research, 148, 105967. https://doi.org/10.1016/j.cor.2022.105967</w:t>
      </w:r>
    </w:p>
    <w:p>
      <w:pPr>
        <w:spacing w:after="60"/>
      </w:pPr>
      <w:r>
        <w:rPr>
          <w:sz w:val="16"/>
        </w:rPr>
        <w:t>[4] Nowak, M., &amp; Szufel, P. (2024). Technician routing and scheduling for the sharing economy. European Journal of Operational Research, 314(1), 15–31. https://doi.org/10.1016/j.ejor.2023.09.023</w:t>
      </w:r>
    </w:p>
    <w:p>
      <w:pPr>
        <w:spacing w:after="60"/>
      </w:pPr>
      <w:r>
        <w:rPr>
          <w:sz w:val="16"/>
        </w:rPr>
        <w:t>[5] Costa, A. C. F., et al. (2024). Digitalization of customer service in small and medium-sized enterprises: drivers for the development and improvement. International Journal of Entrepreneurial Behavior &amp; Research, 30(2/3), 305–341. https://doi.org/10.1108/IJEBR-10-2022-0953</w:t>
      </w:r>
    </w:p>
    <w:p>
      <w:pPr>
        <w:spacing w:after="60"/>
      </w:pPr>
      <w:r>
        <w:rPr>
          <w:sz w:val="16"/>
        </w:rPr>
        <w:t>[6] Szwajca, D., &amp; Rydzewska, A. (2025). Effects and determinants of implementing digital customer service tools in Polish SMEs. Sustainability, 17(3), 1022. https://doi.org/10.3390/su17031022</w:t>
      </w:r>
    </w:p>
    <w:p>
      <w:pPr>
        <w:spacing w:after="60"/>
      </w:pPr>
      <w:r>
        <w:rPr>
          <w:sz w:val="16"/>
        </w:rPr>
        <w:t>[7] Guo, J., Zhang, W., &amp; Xia, T. (2023). Impact of shopping website design on customer satisfaction and loyalty: The mediating role of usability and the moderating role of trust. Sustainability, 15(8), 6347. https://doi.org/10.3390/su15086347</w:t>
      </w:r>
    </w:p>
    <w:p>
      <w:pPr>
        <w:spacing w:after="60"/>
      </w:pPr>
      <w:r>
        <w:rPr>
          <w:sz w:val="16"/>
        </w:rPr>
        <w:t>[8] Al Salem, T. S., &amp; Alshamari, M. A. (2023). Assessing interactive web-based systems using behavioral measurement techniques. Future Internet, 15(11), 365. https://doi.org/10.3390/fi15110365</w:t>
      </w:r>
    </w:p>
    <w:p>
      <w:pPr>
        <w:spacing w:after="60"/>
      </w:pPr>
      <w:r>
        <w:rPr>
          <w:sz w:val="16"/>
        </w:rPr>
        <w:t>[9] Bercaru, V., &amp; Popescu, N. (2024). A systematic review of accessibility techniques for online platforms: Current trends and challenges. Applied Sciences, 14(22), 10337. https://doi.org/10.3390/app142210337</w:t>
      </w:r>
    </w:p>
    <w:p>
      <w:pPr>
        <w:spacing w:after="60"/>
      </w:pPr>
      <w:r>
        <w:rPr>
          <w:sz w:val="16"/>
        </w:rPr>
        <w:t>[10] Phamthi, V. A., Nagy, Á., &amp; Ngo, T. M. (2024). The influence of perceived risk on purchase intention in e-commerce—Systematic review and research agenda. International Journal of Consumer Studies, 48(4), e13067. https://doi.org/10.1111/ijcs.13067</w:t>
      </w:r>
    </w:p>
    <w:p>
      <w:pPr>
        <w:spacing w:after="60"/>
      </w:pPr>
      <w:r>
        <w:rPr>
          <w:sz w:val="16"/>
        </w:rPr>
        <w:t>[11] Nayak, A., &amp; Aravindakshan Nair, A. (2025). Language translation effects in Chatbots: Evidence from a randomized field experiment on a mobile commerce platform. Journal of Business Research, 190, 115158. https://doi.org/10.1016/j.jbusres.2024.115158</w:t>
      </w:r>
    </w:p>
    <w:p>
      <w:pPr>
        <w:spacing w:after="60"/>
      </w:pPr>
      <w:r>
        <w:rPr>
          <w:sz w:val="16"/>
        </w:rPr>
        <w:t>[12] W3C. Web Content Accessibility Guidelines (WCAG) 2.2. https://www.w3.org/TR/WCAG22/</w:t>
      </w:r>
    </w:p>
    <w:p>
      <w:pPr>
        <w:spacing w:after="60"/>
      </w:pPr>
      <w:r>
        <w:rPr>
          <w:sz w:val="16"/>
        </w:rPr>
        <w:t>[13] Django Software Foundation. Django documentation: Forms, authentication and internationalization. https://docs.djangoproject.com/</w:t>
      </w:r>
    </w:p>
    <w:p>
      <w:pPr>
        <w:spacing w:after="60"/>
      </w:pPr>
      <w:r>
        <w:rPr>
          <w:sz w:val="16"/>
        </w:rPr>
        <w:t>[14] PostgreSQL Global Development Group. Documentation: Constraints. https://www.postgresql.org/docs/current/ddl-constraints.html</w:t>
      </w:r>
    </w:p>
    <w:p>
      <w:pPr>
        <w:spacing w:after="60"/>
      </w:pPr>
      <w:r>
        <w:rPr>
          <w:sz w:val="16"/>
        </w:rPr>
        <w:t>[15] OWASP. Application Security Verification Standard. https://owasp.org/projects/asvs</w:t>
      </w:r>
    </w:p>
    <w:p>
      <w:pPr>
        <w:spacing w:after="60"/>
      </w:pPr>
      <w:r>
        <w:rPr>
          <w:sz w:val="16"/>
        </w:rPr>
        <w:t>[16] Flame Tech. Services and burner catalogue. https://flame-tech.kz/services ; https://flame-tech.kz/goreliki</w:t>
      </w:r>
    </w:p>
    <w:p>
      <w:pPr>
        <w:spacing w:after="60"/>
      </w:pPr>
      <w:r>
        <w:rPr>
          <w:sz w:val="16"/>
        </w:rPr>
        <w:t>[17] EKSTRA / Vector Tepla. Public catalogue and services. https://vectortepla.kz/</w:t>
      </w:r>
    </w:p>
    <w:p>
      <w:pPr>
        <w:spacing w:after="60"/>
      </w:pPr>
      <w:r>
        <w:rPr>
          <w:sz w:val="16"/>
        </w:rPr>
        <w:t>[18] Teploshop. Public catalogue. https://teploshop.kz/</w:t>
      </w:r>
    </w:p>
    <w:p>
      <w:pPr>
        <w:spacing w:after="60"/>
      </w:pPr>
      <w:r>
        <w:rPr>
          <w:sz w:val="16"/>
        </w:rPr>
        <w:t>[19] Zoho FSM. Requests, work orders and scheduling documentation. https://www.zoho.com/fsm/requests.html ; https://www.zoho.com/fsm/schedule-and-dispatch.html</w:t>
      </w:r>
    </w:p>
    <w:p>
      <w:pPr>
        <w:spacing w:after="60"/>
      </w:pPr>
      <w:r>
        <w:rPr>
          <w:sz w:val="16"/>
        </w:rPr>
        <w:t>[20] Salesforce. Field Service work-order documentation. https://help.salesforce.com/s/articleView?id=service.fs_manage_wo.htm&amp;language=en_US&amp;type=5</w:t>
      </w:r>
    </w:p>
    <w:sectPr w:rsidR="00FC693F" w:rsidRPr="0006063C" w:rsidSect="00034616">
      <w:footerReference w:type="default" r:id="rId16"/>
      <w:pgSz w:w="11906" w:h="16838"/>
      <w:pgMar w:top="935" w:right="1020"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0000"/>
        <w:sz w:val="16"/>
      </w:rPr>
      <w:t>Alau Term | working pre-defence dossier | 14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Arial" w:hAnsi="Arial"/>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64"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line="264" w:lineRule="auto"/>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4" w:lineRule="auto" w:before="0"/>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