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JSON Data Specification v1.0</w:t>
      </w:r>
    </w:p>
    <w:p>
      <w:r>
        <w:t>This document defines the authoritative JSON structures used by Tilezilla. Gameplay content is JSON-driven and serves as the primary source of truth for boards, levels, tiles, catalogs, and solve libraries.</w:t>
      </w:r>
    </w:p>
    <w:p>
      <w:pPr>
        <w:pStyle w:val="Heading2"/>
      </w:pPr>
      <w:r>
        <w:t>Design Principles</w:t>
      </w:r>
    </w:p>
    <w:p>
      <w:r>
        <w:t>JSON is the authoritative gameplay format.</w:t>
      </w:r>
    </w:p>
    <w:p>
      <w:r>
        <w:t>Gameplay definitions do not reside in MySQL.</w:t>
      </w:r>
    </w:p>
    <w:p>
      <w:r>
        <w:t>Schemas should be versioned and backwards compatible.</w:t>
      </w:r>
    </w:p>
    <w:p>
      <w:pPr>
        <w:pStyle w:val="Heading2"/>
      </w:pPr>
      <w:r>
        <w:t>Level Schema</w:t>
      </w:r>
    </w:p>
    <w:p>
      <w:r>
        <w:t>Unique level id.</w:t>
      </w:r>
    </w:p>
    <w:p>
      <w:r>
        <w:t>Board dimensions.</w:t>
      </w:r>
    </w:p>
    <w:p>
      <w:r>
        <w:t>Tile inventory (bag).</w:t>
      </w:r>
    </w:p>
    <w:p>
      <w:r>
        <w:t>Blocker definitions.</w:t>
      </w:r>
    </w:p>
    <w:p>
      <w:r>
        <w:t>Puzzle metadata.</w:t>
      </w:r>
    </w:p>
    <w:p>
      <w:pPr>
        <w:pStyle w:val="Heading2"/>
      </w:pPr>
      <w:r>
        <w:t>Board Schema</w:t>
      </w:r>
    </w:p>
    <w:p>
      <w:r>
        <w:t>rows</w:t>
      </w:r>
    </w:p>
    <w:p>
      <w:r>
        <w:t>cols</w:t>
      </w:r>
    </w:p>
    <w:p>
      <w:r>
        <w:t>blocked cells</w:t>
      </w:r>
    </w:p>
    <w:p>
      <w:r>
        <w:t>path mode</w:t>
      </w:r>
    </w:p>
    <w:p>
      <w:r>
        <w:t>path count</w:t>
      </w:r>
    </w:p>
    <w:p>
      <w:pPr>
        <w:pStyle w:val="Heading2"/>
      </w:pPr>
      <w:r>
        <w:t>Tile Bag Schema</w:t>
      </w:r>
    </w:p>
    <w:p>
      <w:r>
        <w:t>Tile identifier</w:t>
      </w:r>
    </w:p>
    <w:p>
      <w:r>
        <w:t>Quantity</w:t>
      </w:r>
    </w:p>
    <w:p>
      <w:r>
        <w:t>Catalog tier</w:t>
      </w:r>
    </w:p>
    <w:p>
      <w:r>
        <w:t>Availability rules</w:t>
      </w:r>
    </w:p>
    <w:p>
      <w:pPr>
        <w:pStyle w:val="Heading2"/>
      </w:pPr>
      <w:r>
        <w:t>Tile Definition Schema</w:t>
      </w:r>
    </w:p>
    <w:p>
      <w:r>
        <w:t>Tile id</w:t>
      </w:r>
    </w:p>
    <w:p>
      <w:r>
        <w:t>Shape definition</w:t>
      </w:r>
    </w:p>
    <w:p>
      <w:r>
        <w:t>Anchor definition</w:t>
      </w:r>
    </w:p>
    <w:p>
      <w:r>
        <w:t>Live-edge ownership</w:t>
      </w:r>
    </w:p>
    <w:p>
      <w:r>
        <w:t>Rotation support</w:t>
      </w:r>
    </w:p>
    <w:p>
      <w:pPr>
        <w:pStyle w:val="Heading2"/>
      </w:pPr>
      <w:r>
        <w:t>Placement Schema</w:t>
      </w:r>
    </w:p>
    <w:p>
      <w:r>
        <w:t>Tile id</w:t>
      </w:r>
    </w:p>
    <w:p>
      <w:r>
        <w:t>Anchor position</w:t>
      </w:r>
    </w:p>
    <w:p>
      <w:r>
        <w:t>Rotation</w:t>
      </w:r>
    </w:p>
    <w:p>
      <w:r>
        <w:t>Board coordinates</w:t>
      </w:r>
    </w:p>
    <w:p>
      <w:pPr>
        <w:pStyle w:val="Heading2"/>
      </w:pPr>
      <w:r>
        <w:t>Solve Library Schema</w:t>
      </w:r>
    </w:p>
    <w:p>
      <w:r>
        <w:t>Level id</w:t>
      </w:r>
    </w:p>
    <w:p>
      <w:r>
        <w:t>Canonical solutions</w:t>
      </w:r>
    </w:p>
    <w:p>
      <w:r>
        <w:t>Solution identifiers</w:t>
      </w:r>
    </w:p>
    <w:p>
      <w:r>
        <w:t>Placement arrays</w:t>
      </w:r>
    </w:p>
    <w:p>
      <w:pPr>
        <w:pStyle w:val="Heading2"/>
      </w:pPr>
      <w:r>
        <w:t>Catalog Schema</w:t>
      </w:r>
    </w:p>
    <w:p>
      <w:r>
        <w:t>Level id</w:t>
      </w:r>
    </w:p>
    <w:p>
      <w:r>
        <w:t>Board size</w:t>
      </w:r>
    </w:p>
    <w:p>
      <w:r>
        <w:t>Tier (0A / 0B / 0C)</w:t>
      </w:r>
    </w:p>
    <w:p>
      <w:r>
        <w:t>Solution counts</w:t>
      </w:r>
    </w:p>
    <w:p>
      <w:r>
        <w:t>Eligibility flags</w:t>
      </w:r>
    </w:p>
    <w:p>
      <w:pPr>
        <w:pStyle w:val="Heading2"/>
      </w:pPr>
      <w:r>
        <w:t>Validation Requirements</w:t>
      </w:r>
    </w:p>
    <w:p>
      <w:r>
        <w:t>Schema validation before import</w:t>
      </w:r>
    </w:p>
    <w:p>
      <w:r>
        <w:t>Board consistency checks</w:t>
      </w:r>
    </w:p>
    <w:p>
      <w:r>
        <w:t>Tile inventory checks</w:t>
      </w:r>
    </w:p>
    <w:p>
      <w:r>
        <w:t>Placement validation</w:t>
      </w:r>
    </w:p>
    <w:p>
      <w:pPr>
        <w:pStyle w:val="Heading2"/>
      </w:pPr>
      <w:r>
        <w:t>Versioning Strategy</w:t>
      </w:r>
    </w:p>
    <w:p>
      <w:r>
        <w:t>Schema version field</w:t>
      </w:r>
    </w:p>
    <w:p>
      <w:r>
        <w:t>Forward-compatible parsing</w:t>
      </w:r>
    </w:p>
    <w:p>
      <w:r>
        <w:t>Migration tooling for future formats</w:t>
      </w:r>
    </w:p>
    <w:p>
      <w:pPr>
        <w:pStyle w:val="Heading2"/>
      </w:pPr>
      <w:r>
        <w:t>Import / Export</w:t>
      </w:r>
    </w:p>
    <w:p>
      <w:r>
        <w:t>Catalog generation</w:t>
      </w:r>
    </w:p>
    <w:p>
      <w:r>
        <w:t>Solver ingestion</w:t>
      </w:r>
    </w:p>
    <w:p>
      <w:r>
        <w:t>Level export</w:t>
      </w:r>
    </w:p>
    <w:p>
      <w:r>
        <w:t>Future editor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