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Rules Canon v2.0 (Expanded)</w:t>
      </w:r>
    </w:p>
    <w:p>
      <w:r>
        <w:br/>
        <w:t>This document expands the Rules Canon into a more complete implementation reference.</w:t>
        <w:br/>
        <w:t>It consolidates tile structure, anchor rules, rotations, live-edge behavior,</w:t>
        <w:br/>
        <w:t>board constraints, blockers, validation, solver assumptions, catalog tiers,</w:t>
        <w:br/>
        <w:t>and puzzle objectives.</w:t>
        <w:br/>
      </w:r>
    </w:p>
    <w:p>
      <w:pPr>
        <w:pStyle w:val="Heading2"/>
      </w:pPr>
      <w:r>
        <w:t>Tile Structure</w:t>
      </w:r>
    </w:p>
    <w:p>
      <w:r>
        <w:t>All tiles use an anchor-based model.</w:t>
      </w:r>
    </w:p>
    <w:p>
      <w:r>
        <w:t>Cell A is always the anchor at (0,0).</w:t>
      </w:r>
    </w:p>
    <w:p>
      <w:r>
        <w:t>Current production tiles are AB dominoes.</w:t>
      </w:r>
    </w:p>
    <w:p>
      <w:r>
        <w:t>Future shapes may contain 3+ cells.</w:t>
      </w:r>
    </w:p>
    <w:p>
      <w:pPr>
        <w:pStyle w:val="Heading2"/>
      </w:pPr>
      <w:r>
        <w:t>Rotation Canon</w:t>
      </w:r>
    </w:p>
    <w:p>
      <w:r>
        <w:t>Rotations: r0, r90, r180, r270.</w:t>
      </w:r>
    </w:p>
    <w:p>
      <w:r>
        <w:t>Clockwise mapping: N→E→S→W→N.</w:t>
      </w:r>
    </w:p>
    <w:p>
      <w:r>
        <w:t>Live-edge ownership remains attached to the originating cell.</w:t>
      </w:r>
    </w:p>
    <w:p>
      <w:pPr>
        <w:pStyle w:val="Heading2"/>
      </w:pPr>
      <w:r>
        <w:t>Live Edge Canon</w:t>
      </w:r>
    </w:p>
    <w:p>
      <w:r>
        <w:t>Valid directions: N, E, S, W.</w:t>
      </w:r>
    </w:p>
    <w:p>
      <w:r>
        <w:t>Live↔Live is valid.</w:t>
      </w:r>
    </w:p>
    <w:p>
      <w:r>
        <w:t>Dead↔Dead is valid.</w:t>
      </w:r>
    </w:p>
    <w:p>
      <w:r>
        <w:t>Live↔Dead is invalid.</w:t>
      </w:r>
    </w:p>
    <w:p>
      <w:pPr>
        <w:pStyle w:val="Heading2"/>
      </w:pPr>
      <w:r>
        <w:t>Board Canon</w:t>
      </w:r>
    </w:p>
    <w:p>
      <w:r>
        <w:t>Supported board families range from 2x4 through 6x6.</w:t>
      </w:r>
    </w:p>
    <w:p>
      <w:r>
        <w:t>Odd playable cell counts require blockers or equivalent topology modifiers.</w:t>
      </w:r>
    </w:p>
    <w:p>
      <w:pPr>
        <w:pStyle w:val="Heading2"/>
      </w:pPr>
      <w:r>
        <w:t>Blocker Canon</w:t>
      </w:r>
    </w:p>
    <w:p>
      <w:r>
        <w:t>B1 = standard blocker.</w:t>
      </w:r>
    </w:p>
    <w:p>
      <w:r>
        <w:t>B2 = alternate blocker variant.</w:t>
      </w:r>
    </w:p>
    <w:p>
      <w:r>
        <w:t>Blockers behave as walls.</w:t>
      </w:r>
    </w:p>
    <w:p>
      <w:r>
        <w:t>Live edges may not terminate into blockers.</w:t>
      </w:r>
    </w:p>
    <w:p>
      <w:pPr>
        <w:pStyle w:val="Heading2"/>
      </w:pPr>
      <w:r>
        <w:t>Tile Families</w:t>
      </w:r>
    </w:p>
    <w:p>
      <w:r>
        <w:t>Base: SH, ET, UT, RC, LC, DB, HL, VL, LL, LR</w:t>
      </w:r>
    </w:p>
    <w:p>
      <w:r>
        <w:t>Advanced: SZ, SS, DS, DC, QC</w:t>
      </w:r>
    </w:p>
    <w:p>
      <w:r>
        <w:t>Superior: CR, CT, CQ, QS, E1, E2</w:t>
      </w:r>
    </w:p>
    <w:p>
      <w:pPr>
        <w:pStyle w:val="Heading2"/>
      </w:pPr>
      <w:r>
        <w:t>Validation Pipeline</w:t>
      </w:r>
    </w:p>
    <w:p>
      <w:r>
        <w:t>Inventory check</w:t>
      </w:r>
    </w:p>
    <w:p>
      <w:r>
        <w:t>Bounds check</w:t>
      </w:r>
    </w:p>
    <w:p>
      <w:r>
        <w:t>Overlap check</w:t>
      </w:r>
    </w:p>
    <w:p>
      <w:r>
        <w:t>Blocker check</w:t>
      </w:r>
    </w:p>
    <w:p>
      <w:r>
        <w:t>Edge validation</w:t>
      </w:r>
    </w:p>
    <w:p>
      <w:r>
        <w:t>Connectivity validation</w:t>
      </w:r>
    </w:p>
    <w:p>
      <w:r>
        <w:t>Region parity validation</w:t>
      </w:r>
    </w:p>
    <w:p>
      <w:r>
        <w:t>Reachability validation</w:t>
      </w:r>
    </w:p>
    <w:p>
      <w:pPr>
        <w:pStyle w:val="Heading2"/>
      </w:pPr>
      <w:r>
        <w:t>Solver Canon</w:t>
      </w:r>
    </w:p>
    <w:p>
      <w:r>
        <w:t>Path-following strategy</w:t>
      </w:r>
    </w:p>
    <w:p>
      <w:r>
        <w:t>Endpoint expansion</w:t>
      </w:r>
    </w:p>
    <w:p>
      <w:r>
        <w:t>Pruning of impossible states</w:t>
      </w:r>
    </w:p>
    <w:p>
      <w:r>
        <w:t>Solution deduplication</w:t>
      </w:r>
    </w:p>
    <w:p>
      <w:r>
        <w:t>SH-to-ET reachability enforcement</w:t>
      </w:r>
    </w:p>
    <w:p>
      <w:pPr>
        <w:pStyle w:val="Heading2"/>
      </w:pPr>
      <w:r>
        <w:t>Catalog Tiers</w:t>
      </w:r>
    </w:p>
    <w:p>
      <w:r>
        <w:t>0A = Base tiles only</w:t>
      </w:r>
    </w:p>
    <w:p>
      <w:r>
        <w:t>0B = Advanced tile introduction</w:t>
      </w:r>
    </w:p>
    <w:p>
      <w:r>
        <w:t>0C = Superior tile introduction</w:t>
      </w:r>
    </w:p>
    <w:p>
      <w:pPr>
        <w:pStyle w:val="Heading2"/>
      </w:pPr>
      <w:r>
        <w:t>Difficulty Philosophy</w:t>
      </w:r>
    </w:p>
    <w:p>
      <w:r>
        <w:t>Difficulty is driven by topology, routing decisions, tile vocabulary, and solution ambiguity.</w:t>
      </w:r>
    </w:p>
    <w:p>
      <w:r>
        <w:t>Board size alone is not a difficulty metric.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