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Tile Catalog &amp; Live-Edge Reference v1.0</w:t>
      </w:r>
    </w:p>
    <w:p>
      <w:r>
        <w:t>Developer reference for tile families, catalog tiers, ownership rules, rotation behavior, and live-edge interpretation.</w:t>
      </w:r>
    </w:p>
    <w:p>
      <w:pPr>
        <w:pStyle w:val="Heading2"/>
      </w:pPr>
      <w:r>
        <w:t>Global Tile Rules</w:t>
      </w:r>
    </w:p>
    <w:p>
      <w:r>
        <w:t>Cell A is always the anchor.</w:t>
      </w:r>
    </w:p>
    <w:p>
      <w:r>
        <w:t>Live-edge ownership remains attached to its cell.</w:t>
      </w:r>
    </w:p>
    <w:p>
      <w:r>
        <w:t>Rotations are r0, r90, r180, r270.</w:t>
      </w:r>
    </w:p>
    <w:p>
      <w:r>
        <w:t>Clockwise mapping is N→E→S→W→N.</w:t>
      </w:r>
    </w:p>
    <w:p>
      <w:r>
        <w:t>Live edges must connect to matching live edges.</w:t>
      </w:r>
    </w:p>
    <w:p>
      <w:pPr>
        <w:pStyle w:val="Heading2"/>
      </w:pPr>
      <w:r>
        <w:t>SH - Start Tile</w:t>
      </w:r>
    </w:p>
    <w:p>
      <w:r>
        <w:t>Objective tile</w:t>
      </w:r>
    </w:p>
    <w:p>
      <w:r>
        <w:t>Single active exit</w:t>
      </w:r>
    </w:p>
    <w:p>
      <w:r>
        <w:t>One required in standard single-path puzzles</w:t>
      </w:r>
    </w:p>
    <w:p>
      <w:r>
        <w:t>Tier 0A</w:t>
      </w:r>
    </w:p>
    <w:p>
      <w:pPr>
        <w:pStyle w:val="Heading2"/>
      </w:pPr>
      <w:r>
        <w:t>ET - End Tile</w:t>
      </w:r>
    </w:p>
    <w:p>
      <w:r>
        <w:t>Objective tile</w:t>
      </w:r>
    </w:p>
    <w:p>
      <w:r>
        <w:t>Single active entry</w:t>
      </w:r>
    </w:p>
    <w:p>
      <w:r>
        <w:t>One required in standard single-path puzzles</w:t>
      </w:r>
    </w:p>
    <w:p>
      <w:r>
        <w:t>Tier 0A</w:t>
      </w:r>
    </w:p>
    <w:p>
      <w:pPr>
        <w:pStyle w:val="Heading2"/>
      </w:pPr>
      <w:r>
        <w:t>UT - U-Turn</w:t>
      </w:r>
    </w:p>
    <w:p>
      <w:r>
        <w:t>Parallel routing tile</w:t>
      </w:r>
    </w:p>
    <w:p>
      <w:r>
        <w:t>Core routing vocabulary</w:t>
      </w:r>
    </w:p>
    <w:p>
      <w:r>
        <w:t>Tier 0A</w:t>
      </w:r>
    </w:p>
    <w:p>
      <w:pPr>
        <w:pStyle w:val="Heading2"/>
      </w:pPr>
      <w:r>
        <w:t>RC / LC</w:t>
      </w:r>
    </w:p>
    <w:p>
      <w:r>
        <w:t>Corner routing tiles</w:t>
      </w:r>
    </w:p>
    <w:p>
      <w:r>
        <w:t>Foundational path turning mechanics</w:t>
      </w:r>
    </w:p>
    <w:p>
      <w:r>
        <w:t>Tier 0A</w:t>
      </w:r>
    </w:p>
    <w:p>
      <w:pPr>
        <w:pStyle w:val="Heading2"/>
      </w:pPr>
      <w:r>
        <w:t>LL / LR</w:t>
      </w:r>
    </w:p>
    <w:p>
      <w:r>
        <w:t>Directional routing tiles</w:t>
      </w:r>
    </w:p>
    <w:p>
      <w:r>
        <w:t>Introduce planning and orientation logic</w:t>
      </w:r>
    </w:p>
    <w:p>
      <w:r>
        <w:t>Tier 0A</w:t>
      </w:r>
    </w:p>
    <w:p>
      <w:pPr>
        <w:pStyle w:val="Heading2"/>
      </w:pPr>
      <w:r>
        <w:t>HL / VL</w:t>
      </w:r>
    </w:p>
    <w:p>
      <w:r>
        <w:t>Straight-line routing tiles</w:t>
      </w:r>
    </w:p>
    <w:p>
      <w:r>
        <w:t>Support corridor construction</w:t>
      </w:r>
    </w:p>
    <w:p>
      <w:r>
        <w:t>Tier 0A</w:t>
      </w:r>
    </w:p>
    <w:p>
      <w:pPr>
        <w:pStyle w:val="Heading2"/>
      </w:pPr>
      <w:r>
        <w:t>DB</w:t>
      </w:r>
    </w:p>
    <w:p>
      <w:r>
        <w:t>Double-lane routing tile</w:t>
      </w:r>
    </w:p>
    <w:p>
      <w:r>
        <w:t>Introduces branching complexity</w:t>
      </w:r>
    </w:p>
    <w:p>
      <w:r>
        <w:t>Tier 0A</w:t>
      </w:r>
    </w:p>
    <w:p>
      <w:pPr>
        <w:pStyle w:val="Heading2"/>
      </w:pPr>
      <w:r>
        <w:t>SZ / SS</w:t>
      </w:r>
    </w:p>
    <w:p>
      <w:r>
        <w:t>Distortion tiles</w:t>
      </w:r>
    </w:p>
    <w:p>
      <w:r>
        <w:t>Introduce topology variation</w:t>
      </w:r>
    </w:p>
    <w:p>
      <w:r>
        <w:t>Tier 0B</w:t>
      </w:r>
    </w:p>
    <w:p>
      <w:pPr>
        <w:pStyle w:val="Heading2"/>
      </w:pPr>
      <w:r>
        <w:t>DS / DC / QC</w:t>
      </w:r>
    </w:p>
    <w:p>
      <w:r>
        <w:t>Advanced routing mutations</w:t>
      </w:r>
    </w:p>
    <w:p>
      <w:r>
        <w:t>Increase path ambiguity</w:t>
      </w:r>
    </w:p>
    <w:p>
      <w:r>
        <w:t>Tier 0B</w:t>
      </w:r>
    </w:p>
    <w:p>
      <w:pPr>
        <w:pStyle w:val="Heading2"/>
      </w:pPr>
      <w:r>
        <w:t>CR / CT / CQ / QS</w:t>
      </w:r>
    </w:p>
    <w:p>
      <w:r>
        <w:t>Crossover and multi-path systems</w:t>
      </w:r>
    </w:p>
    <w:p>
      <w:r>
        <w:t>Expert-level tile vocabulary</w:t>
      </w:r>
    </w:p>
    <w:p>
      <w:r>
        <w:t>Tier 0C</w:t>
      </w:r>
    </w:p>
    <w:p>
      <w:pPr>
        <w:pStyle w:val="Heading2"/>
      </w:pPr>
      <w:r>
        <w:t>E1 / E2</w:t>
      </w:r>
    </w:p>
    <w:p>
      <w:r>
        <w:t>Blank-space topology modifiers</w:t>
      </w:r>
    </w:p>
    <w:p>
      <w:r>
        <w:t>Advanced board design tools</w:t>
      </w:r>
    </w:p>
    <w:p>
      <w:r>
        <w:t>Tier 0C</w:t>
      </w:r>
    </w:p>
    <w:p>
      <w:pPr>
        <w:pStyle w:val="Heading2"/>
      </w:pPr>
      <w:r>
        <w:t>B1 / B2</w:t>
      </w:r>
    </w:p>
    <w:p>
      <w:r>
        <w:t>Blocker cells</w:t>
      </w:r>
    </w:p>
    <w:p>
      <w:r>
        <w:t>Not playable tiles</w:t>
      </w:r>
    </w:p>
    <w:p>
      <w:r>
        <w:t>Modify board topology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