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tilezilla-tutorial-video-script"/>
    <w:p>
      <w:pPr>
        <w:pStyle w:val="Heading1"/>
      </w:pPr>
      <w:r>
        <w:t xml:space="preserve">Tilezilla Tutorial Video Script</w:t>
      </w:r>
    </w:p>
    <w:bookmarkStart w:id="39" w:name="the-hitchhikers-guide-to-tilezilla"/>
    <w:p>
      <w:pPr>
        <w:pStyle w:val="Heading2"/>
      </w:pPr>
      <w:r>
        <w:t xml:space="preserve">“The Hitchhiker’s Guide to Tilezilla”</w:t>
      </w:r>
    </w:p>
    <w:bookmarkStart w:id="20" w:name="opening-screen"/>
    <w:p>
      <w:pPr>
        <w:pStyle w:val="Heading3"/>
      </w:pPr>
      <w:r>
        <w:t xml:space="preserve">Opening Screen</w:t>
      </w:r>
    </w:p>
    <w:p>
      <w:pPr>
        <w:pStyle w:val="FirstParagraph"/>
      </w:pPr>
      <w:r>
        <w:t xml:space="preserve">Show Tilezilla logo.</w:t>
      </w:r>
    </w:p>
    <w:p>
      <w:pPr>
        <w:pStyle w:val="BodyText"/>
      </w:pPr>
      <w:r>
        <w:t xml:space="preserve">Soft space music.</w:t>
      </w:r>
    </w:p>
    <w:p>
      <w:pPr>
        <w:pStyle w:val="BodyText"/>
      </w:pPr>
      <w:r>
        <w:t xml:space="preserve">A spinning tile slowly rotates.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Space is big.</w:t>
      </w:r>
    </w:p>
    <w:p>
      <w:pPr>
        <w:pStyle w:val="BodyText"/>
      </w:pPr>
      <w:r>
        <w:t xml:space="preserve">Really big.</w:t>
      </w:r>
    </w:p>
    <w:p>
      <w:pPr>
        <w:pStyle w:val="BodyText"/>
      </w:pPr>
      <w:r>
        <w:t xml:space="preserve">You just won’t believe how vastly, hugely, mind-bogglingly big it is.</w:t>
      </w:r>
    </w:p>
    <w:p>
      <w:pPr>
        <w:pStyle w:val="BodyText"/>
      </w:pPr>
      <w:r>
        <w:t xml:space="preserve">Fortunately, Tilezilla isn’t quite that big.</w:t>
      </w:r>
    </w:p>
    <w:p>
      <w:pPr>
        <w:pStyle w:val="BodyText"/>
      </w:pPr>
      <w:r>
        <w:t xml:space="preserve">Although after staring at a 5x6 challenge puzzle for forty minutes, some players have reported similar symptoms.</w:t>
      </w:r>
    </w:p>
    <w:p>
      <w:r>
        <w:pict>
          <v:rect style="width:0;height:1.5pt" o:hralign="center" o:hrstd="t" o:hr="t"/>
        </w:pict>
      </w:r>
    </w:p>
    <w:bookmarkEnd w:id="20"/>
    <w:bookmarkStart w:id="21" w:name="the-golden-rule"/>
    <w:p>
      <w:pPr>
        <w:pStyle w:val="Heading3"/>
      </w:pPr>
      <w:r>
        <w:t xml:space="preserve">The Golden Rule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DON’T PANIC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The first and most important rule of Tilezilla is:</w:t>
      </w:r>
    </w:p>
    <w:p>
      <w:pPr>
        <w:pStyle w:val="BodyText"/>
      </w:pPr>
      <w:r>
        <w:t xml:space="preserve">Don’t Panic.</w:t>
      </w:r>
    </w:p>
    <w:p>
      <w:pPr>
        <w:pStyle w:val="BodyText"/>
      </w:pPr>
      <w:r>
        <w:t xml:space="preserve">The second rule is also:</w:t>
      </w:r>
    </w:p>
    <w:p>
      <w:pPr>
        <w:pStyle w:val="BodyText"/>
      </w:pPr>
      <w:r>
        <w:t xml:space="preserve">Don’t Panic.</w:t>
      </w:r>
    </w:p>
    <w:p>
      <w:pPr>
        <w:pStyle w:val="BodyText"/>
      </w:pPr>
      <w:r>
        <w:t xml:space="preserve">The third rule is generally agreed to be:</w:t>
      </w:r>
    </w:p>
    <w:p>
      <w:pPr>
        <w:pStyle w:val="BodyText"/>
      </w:pPr>
      <w:r>
        <w:t xml:space="preserve">Maybe rotate the tile.</w:t>
      </w:r>
    </w:p>
    <w:p>
      <w:r>
        <w:pict>
          <v:rect style="width:0;height:1.5pt" o:hralign="center" o:hrstd="t" o:hr="t"/>
        </w:pict>
      </w:r>
    </w:p>
    <w:bookmarkEnd w:id="21"/>
    <w:bookmarkStart w:id="22" w:name="the-objective"/>
    <w:p>
      <w:pPr>
        <w:pStyle w:val="Heading3"/>
      </w:pPr>
      <w:r>
        <w:t xml:space="preserve">The Objective</w:t>
      </w:r>
    </w:p>
    <w:p>
      <w:pPr>
        <w:pStyle w:val="FirstParagraph"/>
      </w:pPr>
      <w:r>
        <w:t xml:space="preserve">Show puzzle board.</w:t>
      </w:r>
    </w:p>
    <w:p>
      <w:pPr>
        <w:pStyle w:val="BodyText"/>
      </w:pPr>
      <w:r>
        <w:t xml:space="preserve">Show Start Tile and End Tile.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Your mission is simple.</w:t>
      </w:r>
    </w:p>
    <w:p>
      <w:pPr>
        <w:pStyle w:val="BodyText"/>
      </w:pPr>
      <w:r>
        <w:t xml:space="preserve">Connect the Start Tile to the End Tile.</w:t>
      </w:r>
    </w:p>
    <w:p>
      <w:pPr>
        <w:pStyle w:val="BodyText"/>
      </w:pPr>
      <w:r>
        <w:t xml:space="preserve">Using every available tile.</w:t>
      </w:r>
    </w:p>
    <w:p>
      <w:pPr>
        <w:pStyle w:val="BodyText"/>
      </w:pPr>
      <w:r>
        <w:t xml:space="preserve">Without accidentally creating an abomination that would offend both mathematics and common sense.</w:t>
      </w:r>
    </w:p>
    <w:p>
      <w:r>
        <w:pict>
          <v:rect style="width:0;height:1.5pt" o:hralign="center" o:hrstd="t" o:hr="t"/>
        </w:pict>
      </w:r>
    </w:p>
    <w:bookmarkEnd w:id="22"/>
    <w:bookmarkStart w:id="23" w:name="meet-the-tile-bag"/>
    <w:p>
      <w:pPr>
        <w:pStyle w:val="Heading3"/>
      </w:pPr>
      <w:r>
        <w:t xml:space="preserve">Meet The Tile Bag</w:t>
      </w:r>
    </w:p>
    <w:p>
      <w:pPr>
        <w:pStyle w:val="FirstParagraph"/>
      </w:pPr>
      <w:r>
        <w:t xml:space="preserve">Show tile bag.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This is the Tile Bag.</w:t>
      </w:r>
    </w:p>
    <w:p>
      <w:pPr>
        <w:pStyle w:val="BodyText"/>
      </w:pPr>
      <w:r>
        <w:t xml:space="preserve">It contains every tile required to solve the puzzle.</w:t>
      </w:r>
    </w:p>
    <w:p>
      <w:pPr>
        <w:pStyle w:val="BodyText"/>
      </w:pPr>
      <w:r>
        <w:t xml:space="preserve">Conveniently enough, they are also the only tiles available.</w:t>
      </w:r>
    </w:p>
    <w:p>
      <w:pPr>
        <w:pStyle w:val="BodyText"/>
      </w:pPr>
      <w:r>
        <w:t xml:space="preserve">A fact many players discover approximately three minutes after attempting to invent new ones.</w:t>
      </w:r>
    </w:p>
    <w:p>
      <w:pPr>
        <w:pStyle w:val="BodyText"/>
      </w:pPr>
      <w:r>
        <w:t xml:space="preserve">To begin, select a tile from the Tile Bag.</w:t>
      </w:r>
    </w:p>
    <w:p>
      <w:pPr>
        <w:pStyle w:val="BodyText"/>
      </w:pPr>
      <w:r>
        <w:t xml:space="preserve">The tile will move into the Preview Area.</w:t>
      </w:r>
    </w:p>
    <w:p>
      <w:r>
        <w:pict>
          <v:rect style="width:0;height:1.5pt" o:hralign="center" o:hrstd="t" o:hr="t"/>
        </w:pict>
      </w:r>
    </w:p>
    <w:bookmarkEnd w:id="23"/>
    <w:bookmarkStart w:id="24" w:name="the-preview-area"/>
    <w:p>
      <w:pPr>
        <w:pStyle w:val="Heading3"/>
      </w:pPr>
      <w:r>
        <w:t xml:space="preserve">The Preview Area</w:t>
      </w:r>
    </w:p>
    <w:p>
      <w:pPr>
        <w:pStyle w:val="FirstParagraph"/>
      </w:pPr>
      <w:r>
        <w:t xml:space="preserve">Show tile moving from Tile Bag to Preview Area.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Before a tile can be placed on the board, it appears in the Preview Area.</w:t>
      </w:r>
    </w:p>
    <w:p>
      <w:pPr>
        <w:pStyle w:val="BodyText"/>
      </w:pPr>
      <w:r>
        <w:t xml:space="preserve">Here you can inspect it.</w:t>
      </w:r>
    </w:p>
    <w:p>
      <w:pPr>
        <w:pStyle w:val="BodyText"/>
      </w:pPr>
      <w:r>
        <w:t xml:space="preserve">Rotate it.</w:t>
      </w:r>
    </w:p>
    <w:p>
      <w:pPr>
        <w:pStyle w:val="BodyText"/>
      </w:pPr>
      <w:r>
        <w:t xml:space="preserve">Study it carefully.</w:t>
      </w:r>
    </w:p>
    <w:p>
      <w:pPr>
        <w:pStyle w:val="BodyText"/>
      </w:pPr>
      <w:r>
        <w:t xml:space="preserve">Rotate it again.</w:t>
      </w:r>
    </w:p>
    <w:p>
      <w:pPr>
        <w:pStyle w:val="BodyText"/>
      </w:pPr>
      <w:r>
        <w:t xml:space="preserve">Then confidently decide it was correct three rotations ago.</w:t>
      </w:r>
    </w:p>
    <w:p>
      <w:r>
        <w:pict>
          <v:rect style="width:0;height:1.5pt" o:hralign="center" o:hrstd="t" o:hr="t"/>
        </w:pict>
      </w:r>
    </w:p>
    <w:bookmarkEnd w:id="24"/>
    <w:bookmarkStart w:id="25" w:name="rotation"/>
    <w:p>
      <w:pPr>
        <w:pStyle w:val="Heading3"/>
      </w:pPr>
      <w:r>
        <w:t xml:space="preserve">Rotation</w:t>
      </w:r>
    </w:p>
    <w:p>
      <w:pPr>
        <w:pStyle w:val="FirstParagraph"/>
      </w:pPr>
      <w:r>
        <w:t xml:space="preserve">Show CW and CCW buttons.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Use the clockwise and counter-clockwise controls to orient the tile.</w:t>
      </w:r>
    </w:p>
    <w:p>
      <w:pPr>
        <w:pStyle w:val="BodyText"/>
      </w:pPr>
      <w:r>
        <w:t xml:space="preserve">Experienced players call this strategy.</w:t>
      </w:r>
    </w:p>
    <w:p>
      <w:pPr>
        <w:pStyle w:val="BodyText"/>
      </w:pPr>
      <w:r>
        <w:t xml:space="preserve">New players call it guessing.</w:t>
      </w:r>
    </w:p>
    <w:p>
      <w:pPr>
        <w:pStyle w:val="BodyText"/>
      </w:pPr>
      <w:r>
        <w:t xml:space="preserve">The results are often remarkably similar.</w:t>
      </w:r>
    </w:p>
    <w:p>
      <w:r>
        <w:pict>
          <v:rect style="width:0;height:1.5pt" o:hralign="center" o:hrstd="t" o:hr="t"/>
        </w:pict>
      </w:r>
    </w:p>
    <w:bookmarkEnd w:id="25"/>
    <w:bookmarkStart w:id="26" w:name="the-hotspot-system"/>
    <w:p>
      <w:pPr>
        <w:pStyle w:val="Heading3"/>
      </w:pPr>
      <w:r>
        <w:t xml:space="preserve">The Hotspot System</w:t>
      </w:r>
    </w:p>
    <w:p>
      <w:pPr>
        <w:pStyle w:val="FirstParagraph"/>
      </w:pPr>
      <w:r>
        <w:t xml:space="preserve">Show hotspot on preview tile.</w:t>
      </w:r>
    </w:p>
    <w:p>
      <w:pPr>
        <w:pStyle w:val="BodyText"/>
      </w:pPr>
      <w:r>
        <w:t xml:space="preserve">Show matching highlighted board locations.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Every tile contains a placement hotspot.</w:t>
      </w:r>
    </w:p>
    <w:p>
      <w:pPr>
        <w:pStyle w:val="BodyText"/>
      </w:pPr>
      <w:r>
        <w:t xml:space="preserve">When a tile is selected, Tilezilla highlights every valid board location for that hotspot.</w:t>
      </w:r>
    </w:p>
    <w:p>
      <w:pPr>
        <w:pStyle w:val="BodyText"/>
      </w:pPr>
      <w:r>
        <w:t xml:space="preserve">Simply choose one of the highlighted locations.</w:t>
      </w:r>
    </w:p>
    <w:p>
      <w:pPr>
        <w:pStyle w:val="BodyText"/>
      </w:pPr>
      <w:r>
        <w:t xml:space="preserve">This dramatically reduces the number of places you can accidentally put the tile.</w:t>
      </w:r>
    </w:p>
    <w:p>
      <w:pPr>
        <w:pStyle w:val="BodyText"/>
      </w:pPr>
      <w:r>
        <w:t xml:space="preserve">Which is generally considered helpful.</w:t>
      </w:r>
    </w:p>
    <w:p>
      <w:r>
        <w:pict>
          <v:rect style="width:0;height:1.5pt" o:hralign="center" o:hrstd="t" o:hr="t"/>
        </w:pict>
      </w:r>
    </w:p>
    <w:bookmarkEnd w:id="26"/>
    <w:bookmarkStart w:id="27" w:name="placing-a-tile"/>
    <w:p>
      <w:pPr>
        <w:pStyle w:val="Heading3"/>
      </w:pPr>
      <w:r>
        <w:t xml:space="preserve">Placing A Tile</w:t>
      </w:r>
    </w:p>
    <w:p>
      <w:pPr>
        <w:pStyle w:val="FirstParagraph"/>
      </w:pPr>
      <w:r>
        <w:t xml:space="preserve">Show:</w:t>
      </w:r>
    </w:p>
    <w:p>
      <w:pPr>
        <w:pStyle w:val="BodyText"/>
      </w:pPr>
      <w:r>
        <w:t xml:space="preserve">Tile Bag</w:t>
      </w:r>
      <w:r>
        <w:t xml:space="preserve"> </w:t>
      </w:r>
      <w:r>
        <w:t xml:space="preserve">↓</w:t>
      </w:r>
      <w:r>
        <w:t xml:space="preserve"> </w:t>
      </w:r>
      <w:r>
        <w:t xml:space="preserve">Preview Area</w:t>
      </w:r>
      <w:r>
        <w:t xml:space="preserve"> </w:t>
      </w:r>
      <w:r>
        <w:t xml:space="preserve">↓</w:t>
      </w:r>
      <w:r>
        <w:t xml:space="preserve"> </w:t>
      </w:r>
      <w:r>
        <w:t xml:space="preserve">Rotate Tile</w:t>
      </w:r>
      <w:r>
        <w:t xml:space="preserve"> </w:t>
      </w:r>
      <w:r>
        <w:t xml:space="preserve">↓</w:t>
      </w:r>
      <w:r>
        <w:t xml:space="preserve"> </w:t>
      </w:r>
      <w:r>
        <w:t xml:space="preserve">Highlighted Board Locations</w:t>
      </w:r>
      <w:r>
        <w:t xml:space="preserve"> </w:t>
      </w:r>
      <w:r>
        <w:t xml:space="preserve">↓</w:t>
      </w:r>
      <w:r>
        <w:t xml:space="preserve"> </w:t>
      </w:r>
      <w:r>
        <w:t xml:space="preserve">Place Tile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Select a tile.</w:t>
      </w:r>
    </w:p>
    <w:p>
      <w:pPr>
        <w:pStyle w:val="BodyText"/>
      </w:pPr>
      <w:r>
        <w:t xml:space="preserve">Rotate it as desired.</w:t>
      </w:r>
    </w:p>
    <w:p>
      <w:pPr>
        <w:pStyle w:val="BodyText"/>
      </w:pPr>
      <w:r>
        <w:t xml:space="preserve">Choose one of the highlighted board positions.</w:t>
      </w:r>
    </w:p>
    <w:p>
      <w:pPr>
        <w:pStyle w:val="BodyText"/>
      </w:pPr>
      <w:r>
        <w:t xml:space="preserve">Place the tile.</w:t>
      </w:r>
    </w:p>
    <w:p>
      <w:pPr>
        <w:pStyle w:val="BodyText"/>
      </w:pPr>
      <w:r>
        <w:t xml:space="preserve">Then repeat this process until every tile has found a home.</w:t>
      </w:r>
    </w:p>
    <w:p>
      <w:pPr>
        <w:pStyle w:val="BodyText"/>
      </w:pPr>
      <w:r>
        <w:t xml:space="preserve">Or until the puzzle begins staring back at you.</w:t>
      </w:r>
    </w:p>
    <w:p>
      <w:r>
        <w:pict>
          <v:rect style="width:0;height:1.5pt" o:hralign="center" o:hrstd="t" o:hr="t"/>
        </w:pict>
      </w:r>
    </w:p>
    <w:bookmarkEnd w:id="27"/>
    <w:bookmarkStart w:id="28" w:name="building-the-route"/>
    <w:p>
      <w:pPr>
        <w:pStyle w:val="Heading3"/>
      </w:pPr>
      <w:r>
        <w:t xml:space="preserve">Building The Route</w:t>
      </w:r>
    </w:p>
    <w:p>
      <w:pPr>
        <w:pStyle w:val="FirstParagraph"/>
      </w:pPr>
      <w:r>
        <w:t xml:space="preserve">Show multiple tiles being placed.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Continue placing tiles until a complete route is formed between the Start Tile and the End Tile.</w:t>
      </w:r>
    </w:p>
    <w:p>
      <w:pPr>
        <w:pStyle w:val="BodyText"/>
      </w:pPr>
      <w:r>
        <w:t xml:space="preserve">Every tile must be used.</w:t>
      </w:r>
    </w:p>
    <w:p>
      <w:pPr>
        <w:pStyle w:val="BodyText"/>
      </w:pPr>
      <w:r>
        <w:t xml:space="preserve">Every connection must be valid.</w:t>
      </w:r>
    </w:p>
    <w:p>
      <w:pPr>
        <w:pStyle w:val="BodyText"/>
      </w:pPr>
      <w:r>
        <w:t xml:space="preserve">And every wrong decision will seem perfectly reasonable at the time.</w:t>
      </w:r>
    </w:p>
    <w:p>
      <w:r>
        <w:pict>
          <v:rect style="width:0;height:1.5pt" o:hralign="center" o:hrstd="t" o:hr="t"/>
        </w:pict>
      </w:r>
    </w:p>
    <w:bookmarkEnd w:id="28"/>
    <w:bookmarkStart w:id="29" w:name="check-solve"/>
    <w:p>
      <w:pPr>
        <w:pStyle w:val="Heading3"/>
      </w:pPr>
      <w:r>
        <w:t xml:space="preserve">Check Solve</w:t>
      </w:r>
    </w:p>
    <w:p>
      <w:pPr>
        <w:pStyle w:val="FirstParagraph"/>
      </w:pPr>
      <w:r>
        <w:t xml:space="preserve">Show Check Solve button.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Once your masterpiece is complete, press Check Solve.</w:t>
      </w:r>
    </w:p>
    <w:p>
      <w:pPr>
        <w:pStyle w:val="BodyText"/>
      </w:pPr>
      <w:r>
        <w:t xml:space="preserve">If your route is valid, congratulations.</w:t>
      </w:r>
    </w:p>
    <w:p>
      <w:pPr>
        <w:pStyle w:val="BodyText"/>
      </w:pPr>
      <w:r>
        <w:t xml:space="preserve">If your route is invalid, congratulations.</w:t>
      </w:r>
    </w:p>
    <w:p>
      <w:pPr>
        <w:pStyle w:val="BodyText"/>
      </w:pPr>
      <w:r>
        <w:t xml:space="preserve">You have successfully eliminated one possibility.</w:t>
      </w:r>
    </w:p>
    <w:p>
      <w:r>
        <w:pict>
          <v:rect style="width:0;height:1.5pt" o:hralign="center" o:hrstd="t" o:hr="t"/>
        </w:pict>
      </w:r>
    </w:p>
    <w:bookmarkEnd w:id="29"/>
    <w:bookmarkStart w:id="30" w:name="multiple-solutions"/>
    <w:p>
      <w:pPr>
        <w:pStyle w:val="Heading3"/>
      </w:pPr>
      <w:r>
        <w:t xml:space="preserve">Multiple Solutions</w:t>
      </w:r>
    </w:p>
    <w:p>
      <w:pPr>
        <w:pStyle w:val="FirstParagraph"/>
      </w:pPr>
      <w:r>
        <w:t xml:space="preserve">Show:</w:t>
      </w:r>
    </w:p>
    <w:p>
      <w:pPr>
        <w:pStyle w:val="BodyText"/>
      </w:pPr>
      <w:r>
        <w:t xml:space="preserve">Found Solution #1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Many puzzles contain multiple solutions.</w:t>
      </w:r>
    </w:p>
    <w:p>
      <w:pPr>
        <w:pStyle w:val="BodyText"/>
      </w:pPr>
      <w:r>
        <w:t xml:space="preserve">Some contain many.</w:t>
      </w:r>
    </w:p>
    <w:p>
      <w:pPr>
        <w:pStyle w:val="BodyText"/>
      </w:pPr>
      <w:r>
        <w:t xml:space="preserve">Some contain enough solutions to make you question your life choices.</w:t>
      </w:r>
    </w:p>
    <w:p>
      <w:pPr>
        <w:pStyle w:val="BodyText"/>
      </w:pPr>
      <w:r>
        <w:t xml:space="preserve">Finding additional solutions earns progress and unlocks new discoveries.</w:t>
      </w:r>
    </w:p>
    <w:p>
      <w:r>
        <w:pict>
          <v:rect style="width:0;height:1.5pt" o:hralign="center" o:hrstd="t" o:hr="t"/>
        </w:pict>
      </w:r>
    </w:p>
    <w:bookmarkEnd w:id="30"/>
    <w:bookmarkStart w:id="31" w:name="challenge-puzzles"/>
    <w:p>
      <w:pPr>
        <w:pStyle w:val="Heading3"/>
      </w:pPr>
      <w:r>
        <w:t xml:space="preserve">Challenge Puzzles</w:t>
      </w:r>
    </w:p>
    <w:p>
      <w:pPr>
        <w:pStyle w:val="FirstParagraph"/>
      </w:pPr>
      <w:r>
        <w:t xml:space="preserve">Show:</w:t>
      </w:r>
    </w:p>
    <w:p>
      <w:pPr>
        <w:pStyle w:val="BodyText"/>
      </w:pPr>
      <w:r>
        <w:t xml:space="preserve">8 of 19 Found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Challenge puzzles require you to discover every solution.</w:t>
      </w:r>
    </w:p>
    <w:p>
      <w:pPr>
        <w:pStyle w:val="BodyText"/>
      </w:pPr>
      <w:r>
        <w:t xml:space="preserve">Not just one.</w:t>
      </w:r>
    </w:p>
    <w:p>
      <w:pPr>
        <w:pStyle w:val="BodyText"/>
      </w:pPr>
      <w:r>
        <w:t xml:space="preserve">All of them.</w:t>
      </w:r>
    </w:p>
    <w:p>
      <w:pPr>
        <w:pStyle w:val="BodyText"/>
      </w:pPr>
      <w:r>
        <w:t xml:space="preserve">This is the point where many players stop calling it a puzzle and start calling it a personal mission.</w:t>
      </w:r>
    </w:p>
    <w:p>
      <w:r>
        <w:pict>
          <v:rect style="width:0;height:1.5pt" o:hralign="center" o:hrstd="t" o:hr="t"/>
        </w:pict>
      </w:r>
    </w:p>
    <w:bookmarkEnd w:id="31"/>
    <w:bookmarkStart w:id="32" w:name="hint-system"/>
    <w:p>
      <w:pPr>
        <w:pStyle w:val="Heading3"/>
      </w:pPr>
      <w:r>
        <w:t xml:space="preserve">Hint System</w:t>
      </w:r>
    </w:p>
    <w:p>
      <w:pPr>
        <w:pStyle w:val="FirstParagraph"/>
      </w:pPr>
      <w:r>
        <w:t xml:space="preserve">Show Hint button.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Need assistance?</w:t>
      </w:r>
    </w:p>
    <w:p>
      <w:pPr>
        <w:pStyle w:val="BodyText"/>
      </w:pPr>
      <w:r>
        <w:t xml:space="preserve">Tilezilla offers hints.</w:t>
      </w:r>
    </w:p>
    <w:p>
      <w:pPr>
        <w:pStyle w:val="BodyText"/>
      </w:pPr>
      <w:r>
        <w:t xml:space="preserve">Use them wisely.</w:t>
      </w:r>
    </w:p>
    <w:p>
      <w:pPr>
        <w:pStyle w:val="BodyText"/>
      </w:pPr>
      <w:r>
        <w:t xml:space="preserve">Unlike towels, hints are not infinitely reusable.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Random Tile</w:t>
      </w:r>
    </w:p>
    <w:p>
      <w:pPr>
        <w:pStyle w:val="BodyText"/>
      </w:pPr>
      <w:r>
        <w:t xml:space="preserve">Reveal Start Tile</w:t>
      </w:r>
    </w:p>
    <w:p>
      <w:pPr>
        <w:pStyle w:val="BodyText"/>
      </w:pPr>
      <w:r>
        <w:t xml:space="preserve">Reveal End Tile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A Random Tile Hint reveals one correctly placed tile.</w:t>
      </w:r>
    </w:p>
    <w:p>
      <w:pPr>
        <w:pStyle w:val="BodyText"/>
      </w:pPr>
      <w:r>
        <w:t xml:space="preserve">Reveal Start Tile shows the location of the Start Tile.</w:t>
      </w:r>
    </w:p>
    <w:p>
      <w:pPr>
        <w:pStyle w:val="BodyText"/>
      </w:pPr>
      <w:r>
        <w:t xml:space="preserve">Reveal End Tile shows the location of the End Tile.</w:t>
      </w:r>
    </w:p>
    <w:p>
      <w:pPr>
        <w:pStyle w:val="BodyText"/>
      </w:pPr>
      <w:r>
        <w:t xml:space="preserve">Each hint consumes Hint Tokens.</w:t>
      </w:r>
    </w:p>
    <w:p>
      <w:pPr>
        <w:pStyle w:val="BodyText"/>
      </w:pPr>
      <w:r>
        <w:t xml:space="preserve">Which are considerably easier to obtain than interstellar travel permits.</w:t>
      </w:r>
    </w:p>
    <w:p>
      <w:r>
        <w:pict>
          <v:rect style="width:0;height:1.5pt" o:hralign="center" o:hrstd="t" o:hr="t"/>
        </w:pict>
      </w:r>
    </w:p>
    <w:bookmarkEnd w:id="32"/>
    <w:bookmarkStart w:id="33" w:name="hint-tokens"/>
    <w:p>
      <w:pPr>
        <w:pStyle w:val="Heading3"/>
      </w:pPr>
      <w:r>
        <w:t xml:space="preserve">Hint Tokens</w:t>
      </w:r>
    </w:p>
    <w:p>
      <w:pPr>
        <w:pStyle w:val="FirstParagraph"/>
      </w:pPr>
      <w:r>
        <w:t xml:space="preserve">Show token count increasing.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Complete puzzles without using hints and you’ll earn Hint Tokens.</w:t>
      </w:r>
    </w:p>
    <w:p>
      <w:pPr>
        <w:pStyle w:val="BodyText"/>
      </w:pPr>
      <w:r>
        <w:t xml:space="preserve">Hint Tokens can be exchanged for future assistance.</w:t>
      </w:r>
    </w:p>
    <w:p>
      <w:pPr>
        <w:pStyle w:val="BodyText"/>
      </w:pPr>
      <w:r>
        <w:t xml:space="preserve">This creates a thriving economy that absolutely nobody has managed to exploit.</w:t>
      </w:r>
    </w:p>
    <w:p>
      <w:pPr>
        <w:pStyle w:val="BodyText"/>
      </w:pPr>
      <w:r>
        <w:t xml:space="preserve">Yet.</w:t>
      </w:r>
    </w:p>
    <w:p>
      <w:r>
        <w:pict>
          <v:rect style="width:0;height:1.5pt" o:hralign="center" o:hrstd="t" o:hr="t"/>
        </w:pict>
      </w:r>
    </w:p>
    <w:bookmarkEnd w:id="33"/>
    <w:bookmarkStart w:id="34" w:name="view-found-solutions"/>
    <w:p>
      <w:pPr>
        <w:pStyle w:val="Heading3"/>
      </w:pPr>
      <w:r>
        <w:t xml:space="preserve">View Found Solutions</w:t>
      </w:r>
    </w:p>
    <w:p>
      <w:pPr>
        <w:pStyle w:val="FirstParagraph"/>
      </w:pPr>
      <w:r>
        <w:t xml:space="preserve">Show Hamburger Menu.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Already discovered some solutions?</w:t>
      </w:r>
    </w:p>
    <w:p>
      <w:pPr>
        <w:pStyle w:val="BodyText"/>
      </w:pPr>
      <w:r>
        <w:t xml:space="preserve">Excellent.</w:t>
      </w:r>
    </w:p>
    <w:p>
      <w:pPr>
        <w:pStyle w:val="BodyText"/>
      </w:pPr>
      <w:r>
        <w:t xml:space="preserve">Open View Found Solutions to review routes you’ve already earned.</w:t>
      </w:r>
    </w:p>
    <w:p>
      <w:pPr>
        <w:pStyle w:val="BodyText"/>
      </w:pPr>
      <w:r>
        <w:t xml:space="preserve">Studying previous discoveries often reveals patterns.</w:t>
      </w:r>
    </w:p>
    <w:p>
      <w:pPr>
        <w:pStyle w:val="BodyText"/>
      </w:pPr>
      <w:r>
        <w:t xml:space="preserve">Or at the very least proves you weren’t imagining things.</w:t>
      </w:r>
    </w:p>
    <w:p>
      <w:r>
        <w:pict>
          <v:rect style="width:0;height:1.5pt" o:hralign="center" o:hrstd="t" o:hr="t"/>
        </w:pict>
      </w:r>
    </w:p>
    <w:bookmarkEnd w:id="34"/>
    <w:bookmarkStart w:id="35" w:name="im-stuck"/>
    <w:p>
      <w:pPr>
        <w:pStyle w:val="Heading3"/>
      </w:pPr>
      <w:r>
        <w:t xml:space="preserve">I’m Stuck</w:t>
      </w:r>
    </w:p>
    <w:p>
      <w:pPr>
        <w:pStyle w:val="FirstParagraph"/>
      </w:pPr>
      <w:r>
        <w:t xml:space="preserve">Show Hamburger Menu.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If all else fails, select:</w:t>
      </w:r>
    </w:p>
    <w:p>
      <w:pPr>
        <w:pStyle w:val="BodyText"/>
      </w:pPr>
      <w:r>
        <w:t xml:space="preserve">I’m Stuck.</w:t>
      </w:r>
    </w:p>
    <w:p>
      <w:pPr>
        <w:pStyle w:val="BodyText"/>
      </w:pPr>
      <w:r>
        <w:t xml:space="preserve">Tilezilla will reveal an example route.</w:t>
      </w:r>
    </w:p>
    <w:p>
      <w:pPr>
        <w:pStyle w:val="BodyText"/>
      </w:pPr>
      <w:r>
        <w:t xml:space="preserve">No rewards are granted.</w:t>
      </w:r>
    </w:p>
    <w:p>
      <w:pPr>
        <w:pStyle w:val="BodyText"/>
      </w:pPr>
      <w:r>
        <w:t xml:space="preserve">No progression is awarded.</w:t>
      </w:r>
    </w:p>
    <w:p>
      <w:pPr>
        <w:pStyle w:val="BodyText"/>
      </w:pPr>
      <w:r>
        <w:t xml:space="preserve">The universe remains largely indifferent.</w:t>
      </w:r>
    </w:p>
    <w:p>
      <w:r>
        <w:pict>
          <v:rect style="width:0;height:1.5pt" o:hralign="center" o:hrstd="t" o:hr="t"/>
        </w:pict>
      </w:r>
    </w:p>
    <w:bookmarkEnd w:id="35"/>
    <w:bookmarkStart w:id="36" w:name="adventure-progress"/>
    <w:p>
      <w:pPr>
        <w:pStyle w:val="Heading3"/>
      </w:pPr>
      <w:r>
        <w:t xml:space="preserve">Adventure Progress</w:t>
      </w:r>
    </w:p>
    <w:p>
      <w:pPr>
        <w:pStyle w:val="FirstParagraph"/>
      </w:pPr>
      <w:r>
        <w:t xml:space="preserve">Show rank badge.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As you progress through Adventure Mode, you’ll rise through the ranks.</w:t>
      </w:r>
    </w:p>
    <w:p>
      <w:pPr>
        <w:pStyle w:val="BodyText"/>
      </w:pPr>
      <w:r>
        <w:t xml:space="preserve">Wanderer.</w:t>
      </w:r>
    </w:p>
    <w:p>
      <w:pPr>
        <w:pStyle w:val="BodyText"/>
      </w:pPr>
      <w:r>
        <w:t xml:space="preserve">Pathfinder.</w:t>
      </w:r>
    </w:p>
    <w:p>
      <w:pPr>
        <w:pStyle w:val="BodyText"/>
      </w:pPr>
      <w:r>
        <w:t xml:space="preserve">Trailblazer.</w:t>
      </w:r>
    </w:p>
    <w:p>
      <w:pPr>
        <w:pStyle w:val="BodyText"/>
      </w:pPr>
      <w:r>
        <w:t xml:space="preserve">Navigator.</w:t>
      </w:r>
    </w:p>
    <w:p>
      <w:pPr>
        <w:pStyle w:val="BodyText"/>
      </w:pPr>
      <w:r>
        <w:t xml:space="preserve">Waymaker.</w:t>
      </w:r>
    </w:p>
    <w:p>
      <w:pPr>
        <w:pStyle w:val="BodyText"/>
      </w:pPr>
      <w:r>
        <w:t xml:space="preserve">Route Master.</w:t>
      </w:r>
    </w:p>
    <w:p>
      <w:pPr>
        <w:pStyle w:val="BodyText"/>
      </w:pPr>
      <w:r>
        <w:t xml:space="preserve">Grand Cartographer.</w:t>
      </w:r>
    </w:p>
    <w:p>
      <w:pPr>
        <w:pStyle w:val="BodyText"/>
      </w:pPr>
      <w:r>
        <w:t xml:space="preserve">And finally…</w:t>
      </w:r>
    </w:p>
    <w:p>
      <w:pPr>
        <w:pStyle w:val="BodyText"/>
      </w:pPr>
      <w:r>
        <w:t xml:space="preserve">Vaultwalker.</w:t>
      </w:r>
    </w:p>
    <w:p>
      <w:pPr>
        <w:pStyle w:val="BodyText"/>
      </w:pPr>
      <w:r>
        <w:t xml:space="preserve">Which sounds significantly cooler than it has any right to.</w:t>
      </w:r>
    </w:p>
    <w:p>
      <w:r>
        <w:pict>
          <v:rect style="width:0;height:1.5pt" o:hralign="center" o:hrstd="t" o:hr="t"/>
        </w:pict>
      </w:r>
    </w:p>
    <w:bookmarkEnd w:id="36"/>
    <w:bookmarkStart w:id="37" w:name="final-advice"/>
    <w:p>
      <w:pPr>
        <w:pStyle w:val="Heading3"/>
      </w:pPr>
      <w:r>
        <w:t xml:space="preserve">Final Advice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DON’T PANIC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Explore.</w:t>
      </w:r>
    </w:p>
    <w:p>
      <w:pPr>
        <w:pStyle w:val="BodyText"/>
      </w:pPr>
      <w:r>
        <w:t xml:space="preserve">Discover.</w:t>
      </w:r>
    </w:p>
    <w:p>
      <w:pPr>
        <w:pStyle w:val="BodyText"/>
      </w:pPr>
      <w:r>
        <w:t xml:space="preserve">Experiment.</w:t>
      </w:r>
    </w:p>
    <w:p>
      <w:pPr>
        <w:pStyle w:val="BodyText"/>
      </w:pPr>
      <w:r>
        <w:t xml:space="preserve">And remember…</w:t>
      </w:r>
    </w:p>
    <w:p>
      <w:pPr>
        <w:pStyle w:val="BodyText"/>
      </w:pPr>
      <w:r>
        <w:t xml:space="preserve">Every impossible puzzle eventually becomes somebody’s first solution.</w:t>
      </w:r>
    </w:p>
    <w:p>
      <w:pPr>
        <w:pStyle w:val="BodyText"/>
      </w:pPr>
      <w:r>
        <w:t xml:space="preserve">Usually after rotating the same tile seventeen times.</w:t>
      </w:r>
    </w:p>
    <w:p>
      <w:r>
        <w:pict>
          <v:rect style="width:0;height:1.5pt" o:hralign="center" o:hrstd="t" o:hr="t"/>
        </w:pict>
      </w:r>
    </w:p>
    <w:bookmarkEnd w:id="37"/>
    <w:bookmarkStart w:id="38" w:name="ending"/>
    <w:p>
      <w:pPr>
        <w:pStyle w:val="Heading3"/>
      </w:pPr>
      <w:r>
        <w:t xml:space="preserve">Ending</w:t>
      </w:r>
    </w:p>
    <w:p>
      <w:pPr>
        <w:pStyle w:val="FirstParagraph"/>
      </w:pPr>
      <w:r>
        <w:t xml:space="preserve">Show completed board.</w:t>
      </w:r>
    </w:p>
    <w:p>
      <w:pPr>
        <w:pStyle w:val="BodyText"/>
      </w:pPr>
      <w:r>
        <w:t xml:space="preserve">Gold sparkle effect.</w:t>
      </w:r>
    </w:p>
    <w:p>
      <w:pPr>
        <w:pStyle w:val="BodyText"/>
      </w:pPr>
      <w:r>
        <w:t xml:space="preserve">Compass glow.</w:t>
      </w:r>
    </w:p>
    <w:p>
      <w:pPr>
        <w:pStyle w:val="BodyText"/>
      </w:pPr>
      <w:r>
        <w:t xml:space="preserve">Tilezilla logo fades in.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Good luck, explorer.</w:t>
      </w:r>
    </w:p>
    <w:p>
      <w:pPr>
        <w:pStyle w:val="BodyText"/>
      </w:pPr>
      <w:r>
        <w:t xml:space="preserve">And above all…</w:t>
      </w:r>
    </w:p>
    <w:p>
      <w:pPr>
        <w:pStyle w:val="BodyText"/>
      </w:pPr>
      <w:r>
        <w:t xml:space="preserve">Don’t Panic.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2026-06-10T03:16:45Z</dcterms:created>
  <dcterms:modified xsi:type="dcterms:W3CDTF">2026-06-10T03:16:45Z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