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541AD" w14:textId="0465D9C3" w:rsidR="00655A82" w:rsidRPr="001C0C33" w:rsidRDefault="00655A82" w:rsidP="001A42E0">
      <w:pPr>
        <w:pStyle w:val="a3"/>
        <w:spacing w:after="100"/>
        <w:ind w:firstLine="620"/>
      </w:pPr>
      <w:r w:rsidRPr="001C0C33">
        <w:t xml:space="preserve">Response to Editors - </w:t>
      </w:r>
      <w:r w:rsidR="008D68B1" w:rsidRPr="008D68B1">
        <w:t>RINENG-D-25-11414</w:t>
      </w:r>
    </w:p>
    <w:p w14:paraId="238ECA3A" w14:textId="1F1BEE6F" w:rsidR="00231B55" w:rsidRPr="00134508" w:rsidRDefault="00231B55" w:rsidP="000568E7">
      <w:pPr>
        <w:spacing w:before="0" w:beforeAutospacing="0" w:after="0" w:afterAutospacing="0" w:line="300" w:lineRule="auto"/>
        <w:jc w:val="both"/>
      </w:pPr>
      <w:r w:rsidRPr="00134508">
        <w:t xml:space="preserve">Dear Editors of </w:t>
      </w:r>
      <w:r w:rsidR="00EE1603" w:rsidRPr="00EE1603">
        <w:t>Results in Engineering</w:t>
      </w:r>
      <w:r w:rsidRPr="00134508">
        <w:t>,</w:t>
      </w:r>
    </w:p>
    <w:p w14:paraId="37F0C666" w14:textId="57D20905" w:rsidR="00231B55" w:rsidRPr="00134508" w:rsidRDefault="00E661C9" w:rsidP="000568E7">
      <w:pPr>
        <w:spacing w:before="0" w:beforeAutospacing="0" w:after="0" w:afterAutospacing="0" w:line="300" w:lineRule="auto"/>
        <w:jc w:val="both"/>
      </w:pPr>
      <w:r w:rsidRPr="00E661C9">
        <w:t>Thank you for your decision letter and for coordinating the helpful feedback on our manuscript (Ms. No. RINENG-D-25-11414), “Systematic Review of High-Performance Grouting Materials for Prefabricated Grouted Sleeve Connections in Building Structures.” We appreciate the opportunity to substantially revise and resubmit. We will address all concerns comprehensively and resubmit by Sep 22, 2025.</w:t>
      </w:r>
    </w:p>
    <w:p w14:paraId="4F064FB1" w14:textId="0D3807D7" w:rsidR="000568E7" w:rsidRDefault="000568E7" w:rsidP="000568E7">
      <w:pPr>
        <w:spacing w:before="0" w:beforeAutospacing="0" w:after="0" w:afterAutospacing="0" w:line="300" w:lineRule="auto"/>
        <w:jc w:val="both"/>
      </w:pPr>
      <w:r w:rsidRPr="000568E7">
        <w:t>Below we outline our action plan aligned with the editorial comments. In the revised submission, we provide:</w:t>
      </w:r>
    </w:p>
    <w:p w14:paraId="04681DC0" w14:textId="77777777" w:rsidR="000568E7" w:rsidRDefault="000568E7" w:rsidP="000568E7">
      <w:pPr>
        <w:pStyle w:val="a9"/>
        <w:numPr>
          <w:ilvl w:val="0"/>
          <w:numId w:val="1"/>
        </w:numPr>
        <w:spacing w:before="0" w:beforeAutospacing="0" w:after="0" w:afterAutospacing="0" w:line="300" w:lineRule="auto"/>
        <w:ind w:firstLineChars="0"/>
        <w:jc w:val="both"/>
      </w:pPr>
      <w:r>
        <w:t>a clean manuscript and a marked-up version showing changes,</w:t>
      </w:r>
    </w:p>
    <w:p w14:paraId="2949EFA5" w14:textId="77777777" w:rsidR="000568E7" w:rsidRDefault="000568E7" w:rsidP="000568E7">
      <w:pPr>
        <w:pStyle w:val="a9"/>
        <w:numPr>
          <w:ilvl w:val="0"/>
          <w:numId w:val="1"/>
        </w:numPr>
        <w:spacing w:before="0" w:beforeAutospacing="0" w:after="0" w:afterAutospacing="0" w:line="300" w:lineRule="auto"/>
        <w:ind w:firstLineChars="0"/>
        <w:jc w:val="both"/>
      </w:pPr>
      <w:r>
        <w:t>a detailed, point-by-point response with page and line numbers for every modification,</w:t>
      </w:r>
    </w:p>
    <w:p w14:paraId="7599813D" w14:textId="622AA62A" w:rsidR="000568E7" w:rsidRDefault="000568E7" w:rsidP="00222BF1">
      <w:pPr>
        <w:pStyle w:val="a9"/>
        <w:numPr>
          <w:ilvl w:val="0"/>
          <w:numId w:val="1"/>
        </w:numPr>
        <w:spacing w:before="0" w:beforeAutospacing="0" w:after="0" w:afterAutospacing="0" w:line="300" w:lineRule="auto"/>
        <w:ind w:firstLineChars="0"/>
        <w:jc w:val="both"/>
      </w:pPr>
      <w:r>
        <w:t>revised Highlights, Abstract, figures, and tables, and</w:t>
      </w:r>
      <w:r w:rsidR="00222BF1">
        <w:rPr>
          <w:rFonts w:hint="eastAsia"/>
        </w:rPr>
        <w:t xml:space="preserve"> </w:t>
      </w:r>
      <w:r>
        <w:t>updated references fully compliant with RINENG style (including DOIs).</w:t>
      </w:r>
    </w:p>
    <w:p w14:paraId="76C42874" w14:textId="5135DA4C" w:rsidR="00751544" w:rsidRDefault="00CC56A7" w:rsidP="00751544">
      <w:pPr>
        <w:spacing w:before="0" w:beforeAutospacing="0" w:after="0" w:afterAutospacing="0" w:line="300" w:lineRule="auto"/>
        <w:jc w:val="both"/>
      </w:pPr>
      <w:r w:rsidRPr="00CC56A7">
        <w:t xml:space="preserve">According to the comments made by esteemed editorial team, we have made targeted changes in the revised </w:t>
      </w:r>
      <w:r w:rsidR="003F2E39">
        <w:rPr>
          <w:rFonts w:hint="eastAsia"/>
        </w:rPr>
        <w:t>manuscript</w:t>
      </w:r>
      <w:r w:rsidRPr="00CC56A7">
        <w:t xml:space="preserve"> and attached the following item-by-item replies</w:t>
      </w:r>
      <w:r w:rsidR="00751544">
        <w:rPr>
          <w:rFonts w:hint="eastAsia"/>
        </w:rPr>
        <w:t>.</w:t>
      </w:r>
    </w:p>
    <w:p w14:paraId="6D9044EE" w14:textId="77777777" w:rsidR="00751544" w:rsidRPr="00134508" w:rsidRDefault="00751544" w:rsidP="00751544">
      <w:pPr>
        <w:spacing w:before="0" w:beforeAutospacing="0" w:after="0" w:afterAutospacing="0" w:line="300" w:lineRule="auto"/>
        <w:jc w:val="both"/>
      </w:pPr>
      <w:r w:rsidRPr="00134508">
        <w:t>We appreciate the time and effort put into reviewing our manuscript and believe that the revisions have significantly strengthened the paper. We look forward to your positive feedback.</w:t>
      </w:r>
    </w:p>
    <w:p w14:paraId="52B1609C" w14:textId="77777777" w:rsidR="00751544" w:rsidRPr="00134508" w:rsidRDefault="00751544" w:rsidP="00751544">
      <w:pPr>
        <w:spacing w:before="0" w:beforeAutospacing="0" w:after="0" w:afterAutospacing="0" w:line="300" w:lineRule="auto"/>
        <w:jc w:val="both"/>
      </w:pPr>
      <w:r w:rsidRPr="00134508">
        <w:t>Thank you for considering our revised submission.</w:t>
      </w:r>
    </w:p>
    <w:p w14:paraId="79D42E24" w14:textId="77777777" w:rsidR="00751544" w:rsidRPr="00134508" w:rsidRDefault="00751544" w:rsidP="00751544">
      <w:pPr>
        <w:spacing w:before="0" w:beforeAutospacing="0" w:after="0" w:afterAutospacing="0" w:line="300" w:lineRule="auto"/>
        <w:jc w:val="both"/>
      </w:pPr>
      <w:r w:rsidRPr="00134508">
        <w:t>Kind regards,</w:t>
      </w:r>
    </w:p>
    <w:p w14:paraId="5BFB0360" w14:textId="77777777" w:rsidR="00751544" w:rsidRDefault="00751544" w:rsidP="00751544">
      <w:pPr>
        <w:spacing w:before="0" w:beforeAutospacing="0" w:after="0" w:afterAutospacing="0" w:line="300" w:lineRule="auto"/>
        <w:jc w:val="both"/>
      </w:pPr>
      <w:r>
        <w:rPr>
          <w:rFonts w:hint="eastAsia"/>
        </w:rPr>
        <w:t>Shuoting Xiao,</w:t>
      </w:r>
    </w:p>
    <w:p w14:paraId="47BD7415" w14:textId="77777777" w:rsidR="00751544" w:rsidRDefault="00751544" w:rsidP="00751544">
      <w:pPr>
        <w:spacing w:before="0" w:beforeAutospacing="0" w:after="0" w:afterAutospacing="0" w:line="300" w:lineRule="auto"/>
        <w:jc w:val="both"/>
      </w:pPr>
      <w:r w:rsidRPr="007F0D1E">
        <w:t xml:space="preserve">Institute of </w:t>
      </w:r>
      <w:r w:rsidRPr="007F0D1E">
        <w:rPr>
          <w:rFonts w:hint="eastAsia"/>
        </w:rPr>
        <w:t>Civil Engineering</w:t>
      </w:r>
      <w:r w:rsidRPr="007F0D1E">
        <w:t xml:space="preserve"> and Architecture, Ural Federal University</w:t>
      </w:r>
      <w:r>
        <w:rPr>
          <w:rFonts w:hint="eastAsia"/>
        </w:rPr>
        <w:t>,</w:t>
      </w:r>
    </w:p>
    <w:p w14:paraId="5E6F43FE" w14:textId="1078D18A" w:rsidR="00751544" w:rsidRPr="00751544" w:rsidRDefault="00751544" w:rsidP="00751544">
      <w:pPr>
        <w:spacing w:before="0" w:beforeAutospacing="0" w:after="0" w:afterAutospacing="0" w:line="300" w:lineRule="auto"/>
        <w:jc w:val="both"/>
      </w:pPr>
      <w:r w:rsidRPr="001D64F1">
        <w:rPr>
          <w:rFonts w:hint="eastAsia"/>
        </w:rPr>
        <w:t>Shuotingxiao@gmail.com</w:t>
      </w:r>
    </w:p>
    <w:p w14:paraId="6C9D572B" w14:textId="54BBE56A" w:rsidR="006F188F" w:rsidRPr="00A87B63" w:rsidRDefault="00DB1D80" w:rsidP="00DF2710">
      <w:pPr>
        <w:ind w:firstLine="482"/>
        <w:rPr>
          <w:b/>
          <w:bCs/>
        </w:rPr>
      </w:pPr>
      <w:r w:rsidRPr="00A87B63">
        <w:rPr>
          <w:b/>
          <w:bCs/>
        </w:rPr>
        <w:t xml:space="preserve">1. </w:t>
      </w:r>
      <w:r w:rsidR="00DF2710" w:rsidRPr="00A87B63">
        <w:rPr>
          <w:b/>
          <w:bCs/>
        </w:rPr>
        <w:t>I recommend reviewing the</w:t>
      </w:r>
      <w:r w:rsidR="00A87B63">
        <w:rPr>
          <w:rFonts w:hint="eastAsia"/>
          <w:b/>
          <w:bCs/>
        </w:rPr>
        <w:t xml:space="preserve"> </w:t>
      </w:r>
      <w:r w:rsidR="00DF2710" w:rsidRPr="00A87B63">
        <w:rPr>
          <w:b/>
          <w:bCs/>
          <w:i/>
          <w:iCs/>
        </w:rPr>
        <w:t>Guide for Authors</w:t>
      </w:r>
      <w:r w:rsidR="00A87B63">
        <w:rPr>
          <w:rFonts w:hint="eastAsia"/>
          <w:b/>
          <w:bCs/>
        </w:rPr>
        <w:t xml:space="preserve"> </w:t>
      </w:r>
      <w:r w:rsidR="00DF2710" w:rsidRPr="00A87B63">
        <w:rPr>
          <w:b/>
          <w:bCs/>
        </w:rPr>
        <w:t>to ensure full compliance with the journal’s formatting and submission guidelines.</w:t>
      </w:r>
    </w:p>
    <w:p w14:paraId="148B08D2" w14:textId="275F9B00" w:rsidR="00813642" w:rsidRDefault="00A87B63" w:rsidP="006F188F">
      <w:pPr>
        <w:spacing w:before="0" w:beforeAutospacing="0" w:after="0" w:afterAutospacing="0" w:line="300" w:lineRule="auto"/>
        <w:jc w:val="both"/>
      </w:pPr>
      <w:r w:rsidRPr="00A87B63">
        <w:t>Response:</w:t>
      </w:r>
      <w:r w:rsidR="002370B6">
        <w:rPr>
          <w:rFonts w:hint="eastAsia"/>
        </w:rPr>
        <w:t xml:space="preserve"> </w:t>
      </w:r>
      <w:r w:rsidR="00796D2C" w:rsidRPr="00796D2C">
        <w:t xml:space="preserve">We have thoroughly reviewed the </w:t>
      </w:r>
      <w:r w:rsidR="00796D2C" w:rsidRPr="00796D2C">
        <w:rPr>
          <w:i/>
          <w:iCs/>
        </w:rPr>
        <w:t>Results in Engineering</w:t>
      </w:r>
      <w:r w:rsidR="00796D2C" w:rsidRPr="00796D2C">
        <w:t xml:space="preserve"> Guide for Authors and revised the manuscript to ensure full compliance with all formatting and submission guidelines, including article structure and section organization, figure and table formatting requirements,</w:t>
      </w:r>
      <w:r w:rsidR="001460AF" w:rsidRPr="001460AF">
        <w:t xml:space="preserve"> </w:t>
      </w:r>
      <w:r w:rsidR="001460AF">
        <w:rPr>
          <w:rFonts w:hint="eastAsia"/>
        </w:rPr>
        <w:t>a</w:t>
      </w:r>
      <w:r w:rsidR="001460AF" w:rsidRPr="001460AF">
        <w:t>bbreviations</w:t>
      </w:r>
      <w:r w:rsidR="001460AF">
        <w:rPr>
          <w:rFonts w:hint="eastAsia"/>
        </w:rPr>
        <w:t xml:space="preserve"> table,</w:t>
      </w:r>
      <w:r w:rsidR="00796D2C" w:rsidRPr="00796D2C">
        <w:t xml:space="preserve"> reference style with DOIs, supplementary materials statement, author contribution statement format, and data availability statement.</w:t>
      </w:r>
    </w:p>
    <w:p w14:paraId="4BC84A7A" w14:textId="77777777" w:rsidR="00A87B63" w:rsidRPr="001460AF" w:rsidRDefault="00A87B63" w:rsidP="006F188F">
      <w:pPr>
        <w:spacing w:before="0" w:beforeAutospacing="0" w:after="0" w:afterAutospacing="0" w:line="300" w:lineRule="auto"/>
        <w:jc w:val="both"/>
      </w:pPr>
    </w:p>
    <w:p w14:paraId="170AF789" w14:textId="02AD04FA" w:rsidR="00DB081A" w:rsidRPr="00DB081A" w:rsidRDefault="00DB081A" w:rsidP="00DB081A">
      <w:pPr>
        <w:ind w:firstLine="482"/>
        <w:rPr>
          <w:b/>
          <w:bCs/>
        </w:rPr>
      </w:pPr>
      <w:r w:rsidRPr="00DB081A">
        <w:rPr>
          <w:rFonts w:hint="eastAsia"/>
          <w:b/>
          <w:bCs/>
        </w:rPr>
        <w:lastRenderedPageBreak/>
        <w:t xml:space="preserve">2. </w:t>
      </w:r>
      <w:r w:rsidRPr="00DB081A">
        <w:rPr>
          <w:b/>
          <w:bCs/>
        </w:rPr>
        <w:t>Kindly revise the cover letter to highlight the novelty of the work in bullet points and how the manuscript aligns with the journal's aim and scope.</w:t>
      </w:r>
    </w:p>
    <w:p w14:paraId="1AC6F473" w14:textId="2CA768C4" w:rsidR="00DB081A" w:rsidRDefault="00625D56" w:rsidP="00DB081A">
      <w:pPr>
        <w:spacing w:before="0" w:beforeAutospacing="0" w:after="0" w:afterAutospacing="0" w:line="300" w:lineRule="auto"/>
      </w:pPr>
      <w:r w:rsidRPr="00625D56">
        <w:t>We sincerely thank the reviewer for this valuable suggestion. We have revised the cover letter to clearly highlight the novelty of our work and demonstrate its alignment with the journal's scope.</w:t>
      </w:r>
    </w:p>
    <w:p w14:paraId="5D9CA3A9" w14:textId="5390CA5D" w:rsidR="00DB081A" w:rsidRPr="00DB081A" w:rsidRDefault="00DB081A" w:rsidP="00DB081A">
      <w:pPr>
        <w:ind w:firstLine="482"/>
        <w:rPr>
          <w:b/>
          <w:bCs/>
        </w:rPr>
      </w:pPr>
      <w:r w:rsidRPr="00DB081A">
        <w:rPr>
          <w:rFonts w:hint="eastAsia"/>
          <w:b/>
          <w:bCs/>
        </w:rPr>
        <w:t>3.</w:t>
      </w:r>
      <w:r w:rsidRPr="00DB081A">
        <w:rPr>
          <w:b/>
          <w:bCs/>
        </w:rPr>
        <w:t xml:space="preserve"> Kindly specify these page and line numbers when mentioning the changes made in your response to reviewers.</w:t>
      </w:r>
    </w:p>
    <w:p w14:paraId="5D3F79F6" w14:textId="09BFF052" w:rsidR="00DB081A" w:rsidRDefault="007D1812" w:rsidP="00DB081A">
      <w:pPr>
        <w:spacing w:before="0" w:beforeAutospacing="0" w:after="0" w:afterAutospacing="0" w:line="300" w:lineRule="auto"/>
      </w:pPr>
      <w:r w:rsidRPr="007D1812">
        <w:t xml:space="preserve">All subsequent responses now include specific page and line numbers indicating where changes were made in the revised manuscript. Both tracked-changes version and clean version </w:t>
      </w:r>
      <w:r w:rsidR="00BD1DA5" w:rsidRPr="007D1812">
        <w:t>have</w:t>
      </w:r>
      <w:r w:rsidRPr="007D1812">
        <w:t xml:space="preserve"> also been uploaded to facilitate review.</w:t>
      </w:r>
    </w:p>
    <w:p w14:paraId="6736BDF6" w14:textId="0071AC8F" w:rsidR="00DB081A" w:rsidRPr="00DB081A" w:rsidRDefault="00DB081A" w:rsidP="00DB081A">
      <w:pPr>
        <w:ind w:firstLine="482"/>
        <w:rPr>
          <w:b/>
          <w:bCs/>
        </w:rPr>
      </w:pPr>
      <w:r>
        <w:rPr>
          <w:rFonts w:hint="eastAsia"/>
          <w:b/>
          <w:bCs/>
        </w:rPr>
        <w:t>4.</w:t>
      </w:r>
      <w:r w:rsidRPr="00DB081A">
        <w:rPr>
          <w:b/>
          <w:bCs/>
        </w:rPr>
        <w:t xml:space="preserve"> Highlights should be quantitative and consist of 3 to 5 bullet points, and each should not exceed 85 characters.</w:t>
      </w:r>
    </w:p>
    <w:p w14:paraId="3A228047" w14:textId="27B8D21F" w:rsidR="00DB081A" w:rsidRDefault="00B4727A" w:rsidP="00DB081A">
      <w:pPr>
        <w:spacing w:before="0" w:beforeAutospacing="0" w:after="0" w:afterAutospacing="0" w:line="300" w:lineRule="auto"/>
      </w:pPr>
      <w:proofErr w:type="gramStart"/>
      <w:r w:rsidRPr="00B4727A">
        <w:t>We thank</w:t>
      </w:r>
      <w:proofErr w:type="gramEnd"/>
      <w:r w:rsidRPr="00B4727A">
        <w:t xml:space="preserve"> for this </w:t>
      </w:r>
      <w:r>
        <w:rPr>
          <w:rFonts w:hint="eastAsia"/>
        </w:rPr>
        <w:t>comment</w:t>
      </w:r>
      <w:r w:rsidRPr="00B4727A">
        <w:t>. We have prepared quantitative highlights consisting of 5 bullet points, each not exceeding 85 characters, as requested</w:t>
      </w:r>
      <w:r>
        <w:rPr>
          <w:rFonts w:hint="eastAsia"/>
        </w:rPr>
        <w:t xml:space="preserve">. </w:t>
      </w:r>
    </w:p>
    <w:p w14:paraId="6F13071E" w14:textId="17F4A5AA" w:rsidR="00932BCE" w:rsidRDefault="00932BCE" w:rsidP="00932BCE">
      <w:pPr>
        <w:spacing w:before="0" w:beforeAutospacing="0" w:after="0" w:afterAutospacing="0" w:line="300" w:lineRule="auto"/>
      </w:pPr>
      <w:r>
        <w:t>However, we respectfully suggest that highlights may not be included in the manuscript pages for this review article. As a comprehensive systematic review synthesizing performance data across multiple grouting material categories (conventional cementitious, fiber-reinforced, UHPC-based, and functional formulations), chemical admixtures (water reducers, defoamers, accelerators, expansive agents), supplementary materials (silica fume, fly ash, slag, recycled alternatives), and environmental factors (high temperature, freeze-thaw, chloride attack, coupled degradation), the breadth of quantitative findings is extensive. The manuscript reports numerous quantitative benchmarks including strength ranges (80-160 MPa), flowability characteristics (300-350 mm), bond strength improvements (up to 30%), anchorage length reductions (25-40%), admixture dosage effects (33-43% strength gains, 37% porosity reduction), carbon emission reductions (up to 40%), and performance under various environmental conditions. Condensing such comprehensive and multifaceted quantitative results into 3-5 concise bullet points risks oversimplifying the systematic findings and may not adequately represent the scope and depth of this review.</w:t>
      </w:r>
    </w:p>
    <w:p w14:paraId="030588EB" w14:textId="1E2995EE" w:rsidR="00932BCE" w:rsidRPr="00932BCE" w:rsidRDefault="00932BCE" w:rsidP="00932BCE">
      <w:pPr>
        <w:spacing w:before="0" w:beforeAutospacing="0" w:after="0" w:afterAutospacing="0" w:line="300" w:lineRule="auto"/>
      </w:pPr>
      <w:r>
        <w:t xml:space="preserve">If the journal policy requires highlights </w:t>
      </w:r>
      <w:proofErr w:type="gramStart"/>
      <w:r>
        <w:t>must to</w:t>
      </w:r>
      <w:proofErr w:type="gramEnd"/>
      <w:r>
        <w:t xml:space="preserve"> appear in the manuscript, we are happy to include them.</w:t>
      </w:r>
    </w:p>
    <w:p w14:paraId="29270DE3" w14:textId="06626043" w:rsidR="00B4727A" w:rsidRDefault="00932BCE" w:rsidP="00932BCE">
      <w:pPr>
        <w:spacing w:before="0" w:beforeAutospacing="0" w:after="0" w:afterAutospacing="0" w:line="300" w:lineRule="auto"/>
      </w:pPr>
      <w:r>
        <w:t>We await the editor's guidance on this matter and remain flexible to accommodate the journal's requirements.</w:t>
      </w:r>
    </w:p>
    <w:p w14:paraId="589FEB93" w14:textId="6491C776" w:rsidR="00DB081A" w:rsidRPr="00DB081A" w:rsidRDefault="00DB081A" w:rsidP="00DB081A">
      <w:pPr>
        <w:ind w:firstLine="482"/>
        <w:rPr>
          <w:b/>
          <w:bCs/>
        </w:rPr>
      </w:pPr>
      <w:r>
        <w:rPr>
          <w:rFonts w:hint="eastAsia"/>
          <w:b/>
          <w:bCs/>
        </w:rPr>
        <w:t>5.</w:t>
      </w:r>
      <w:r w:rsidRPr="00DB081A">
        <w:rPr>
          <w:b/>
          <w:bCs/>
        </w:rPr>
        <w:t xml:space="preserve"> Kindly enhance the abstract by explicitly stating the main conclusions, research gaps, and future directions identified in the review. Please ensure it is concise and highlights the novelty.</w:t>
      </w:r>
    </w:p>
    <w:p w14:paraId="502BD04C" w14:textId="3E8886D8" w:rsidR="002A015C" w:rsidRDefault="002A015C" w:rsidP="002A015C">
      <w:pPr>
        <w:spacing w:before="0" w:beforeAutospacing="0" w:after="0" w:afterAutospacing="0" w:line="300" w:lineRule="auto"/>
      </w:pPr>
      <w:r>
        <w:t>The abstract has been substantially modified to explicitly communicate the study's main conclusions, identified research gaps, and future research directions.</w:t>
      </w:r>
      <w:r w:rsidR="002F7C55" w:rsidRPr="002F7C55">
        <w:t xml:space="preserve"> And the abstract meets the journal standard, no more than 250 words</w:t>
      </w:r>
      <w:r w:rsidR="002F7C55">
        <w:rPr>
          <w:rFonts w:hint="eastAsia"/>
        </w:rPr>
        <w:t>.</w:t>
      </w:r>
    </w:p>
    <w:p w14:paraId="05CB53A5" w14:textId="2F33D336" w:rsidR="002A015C" w:rsidRDefault="002A015C" w:rsidP="002A015C">
      <w:pPr>
        <w:spacing w:before="0" w:beforeAutospacing="0" w:after="0" w:afterAutospacing="0" w:line="300" w:lineRule="auto"/>
      </w:pPr>
      <w:r>
        <w:t>The revised abstract now begins by clearly stating the methodological approach: "This review integrates bibliometric methods with combined quantitative–qualitative analysis to evaluate several classes of grouting materials for prefabricated grouted sleeve connections." Key findings are presented with specific quantitative values, showing that conventional cement-based grouts achieve 28-day compressive strengths of 80–95 MPa with initial flowability of 300–350 mm through controlled water-to-binder ratios and superplasticizers. Fiber reinforcement increases strength by up to 30% but reduces flowability by 5–20% depending on dosage. UHPC-based grouts deliver superior performance with compressive strengths of 105–160 MPa and enable 25–40% shorter anchorage lengths compared with conventional materials, though at higher cost and with reduced injectability.</w:t>
      </w:r>
    </w:p>
    <w:p w14:paraId="64549251" w14:textId="77777777" w:rsidR="002A015C" w:rsidRDefault="002A015C" w:rsidP="002A015C">
      <w:pPr>
        <w:spacing w:before="0" w:beforeAutospacing="0" w:after="0" w:afterAutospacing="0" w:line="300" w:lineRule="auto"/>
      </w:pPr>
      <w:r>
        <w:t>The abstract now explicitly identifies research gaps: "understanding of degradation mechanisms under coupled environmental actions is limited because most studies isolate single factors; research on self-healing grouts for sleeves remains sparse and lacks systematic comparisons; and data on the influence of the binder-to-sand ratio on bond performance is insufficient." Future directions are clearly stated: "Future work should prioritize multi-scale characterization under coupled conditions, develop degradation models, and advance sustainable grout formulations incorporating industrial by-products."</w:t>
      </w:r>
    </w:p>
    <w:p w14:paraId="1B7E222B" w14:textId="77777777" w:rsidR="002A015C" w:rsidRDefault="002A015C" w:rsidP="002A015C">
      <w:pPr>
        <w:spacing w:before="0" w:beforeAutospacing="0" w:after="0" w:afterAutospacing="0" w:line="300" w:lineRule="auto"/>
      </w:pPr>
    </w:p>
    <w:p w14:paraId="0A1D40B2" w14:textId="50F17EF2" w:rsidR="00DB081A" w:rsidRDefault="002A015C" w:rsidP="002A015C">
      <w:pPr>
        <w:spacing w:before="0" w:beforeAutospacing="0" w:after="0" w:afterAutospacing="0" w:line="300" w:lineRule="auto"/>
      </w:pPr>
      <w:r>
        <w:t>The abstract concludes by emphasizing practical utility: "This review provides quantitative benchmarks for material selection and identifies technical challenges that must be addressed to improve the reliability of prefabricated construction."</w:t>
      </w:r>
    </w:p>
    <w:p w14:paraId="1F479B6C" w14:textId="10B96C28" w:rsidR="00DB081A" w:rsidRPr="00DB081A" w:rsidRDefault="00DB081A" w:rsidP="00DB081A">
      <w:pPr>
        <w:ind w:firstLine="482"/>
        <w:rPr>
          <w:b/>
          <w:bCs/>
        </w:rPr>
      </w:pPr>
      <w:r>
        <w:rPr>
          <w:rFonts w:hint="eastAsia"/>
          <w:b/>
          <w:bCs/>
        </w:rPr>
        <w:t>6.</w:t>
      </w:r>
      <w:r w:rsidRPr="00DB081A">
        <w:rPr>
          <w:b/>
          <w:bCs/>
        </w:rPr>
        <w:t xml:space="preserve"> Kindly critically compare related works, highlighting what has been done, where gaps exist, and how this study addresses them. Consider adding a paragraph that explicitly states the motivation, specific challenges, and the novelty of your systematic review compared to existing literature.</w:t>
      </w:r>
    </w:p>
    <w:p w14:paraId="04EE2924" w14:textId="2BD720C0" w:rsidR="002C4FD2" w:rsidRDefault="002C4FD2" w:rsidP="002C4FD2">
      <w:pPr>
        <w:spacing w:before="0" w:beforeAutospacing="0" w:after="0" w:afterAutospacing="0" w:line="300" w:lineRule="auto"/>
      </w:pPr>
      <w:r>
        <w:t>We have added a comprehensive comparison paragraph in the Introduction that explicitly positions our work's novelty and motivation.</w:t>
      </w:r>
    </w:p>
    <w:p w14:paraId="004A7977" w14:textId="197E269C" w:rsidR="002C4FD2" w:rsidRDefault="002C4FD2" w:rsidP="0084588C">
      <w:pPr>
        <w:spacing w:before="0" w:beforeAutospacing="0" w:after="0" w:afterAutospacing="0" w:line="300" w:lineRule="auto"/>
      </w:pPr>
      <w:r>
        <w:t xml:space="preserve">The new paragraph </w:t>
      </w:r>
      <w:r w:rsidR="0084588C" w:rsidRPr="0084588C">
        <w:t>(In revised manuscript, page 3, line 91</w:t>
      </w:r>
      <w:r>
        <w:t>) provides a detailed critical assessment</w:t>
      </w:r>
      <w:r w:rsidR="0084588C">
        <w:rPr>
          <w:rFonts w:hint="eastAsia"/>
        </w:rPr>
        <w:t xml:space="preserve">. </w:t>
      </w:r>
      <w:r>
        <w:t>The paragraph then explicitly states our study's distinctive approach: "By contrast, the present study systematically integrates bibliometric mapping and technical synthesis across multiple grout categories—including conventional cementitious, fiber-reinforced, UHPC-based, and innovative formulations—explicitly within the context of prefabricated grouted sleeve connections. This approach enables the identification of performance trends, unresolved technical gaps, and research opportunities directly relevant to engineering practice."</w:t>
      </w:r>
    </w:p>
    <w:p w14:paraId="19223EE6" w14:textId="44226A73" w:rsidR="00DB081A" w:rsidRDefault="002C4FD2" w:rsidP="002C4FD2">
      <w:pPr>
        <w:spacing w:before="0" w:beforeAutospacing="0" w:after="0" w:afterAutospacing="0" w:line="300" w:lineRule="auto"/>
      </w:pPr>
      <w:r>
        <w:t>This addition directly addresses the need to clarify what has been done previously, where gaps exist, and how the current study fills those gaps through its unique methodological integration and sleeve-specific focus.</w:t>
      </w:r>
    </w:p>
    <w:p w14:paraId="51D3CE07" w14:textId="71C6EAB4" w:rsidR="00DB081A" w:rsidRPr="00DB081A" w:rsidRDefault="00DB081A" w:rsidP="00DB081A">
      <w:pPr>
        <w:ind w:firstLine="482"/>
        <w:rPr>
          <w:b/>
          <w:bCs/>
        </w:rPr>
      </w:pPr>
      <w:r>
        <w:rPr>
          <w:rFonts w:hint="eastAsia"/>
          <w:b/>
          <w:bCs/>
        </w:rPr>
        <w:t>7.</w:t>
      </w:r>
      <w:r w:rsidRPr="00DB081A">
        <w:rPr>
          <w:b/>
          <w:bCs/>
        </w:rPr>
        <w:t xml:space="preserve"> Kindly include a discussion on how the bibliometric findings inform the classification of research gaps and future directions. Consider including more visualizations or summaries of trends over time.</w:t>
      </w:r>
    </w:p>
    <w:p w14:paraId="1ECB7348" w14:textId="3ACC225F" w:rsidR="006F04CF" w:rsidRDefault="006F04CF" w:rsidP="006F04CF">
      <w:pPr>
        <w:spacing w:before="0" w:beforeAutospacing="0" w:after="0" w:afterAutospacing="0" w:line="300" w:lineRule="auto"/>
      </w:pPr>
      <w:r>
        <w:t>We have added substantive content bridging the bibliometric analysis to the material classification framework, showing how publication trends and keyword co-occurrence patterns directly informed our systematic categorization approach.</w:t>
      </w:r>
    </w:p>
    <w:p w14:paraId="1DB1CE98" w14:textId="0CD547C6" w:rsidR="006F04CF" w:rsidRDefault="006F04CF" w:rsidP="006F04CF">
      <w:pPr>
        <w:spacing w:before="0" w:beforeAutospacing="0" w:after="0" w:afterAutospacing="0" w:line="300" w:lineRule="auto"/>
      </w:pPr>
      <w:r>
        <w:t>At Section 3, we provide</w:t>
      </w:r>
      <w:r w:rsidR="008602C7">
        <w:rPr>
          <w:rFonts w:hint="eastAsia"/>
        </w:rPr>
        <w:t>d</w:t>
      </w:r>
      <w:r>
        <w:t xml:space="preserve"> explicit synthesis (</w:t>
      </w:r>
      <w:r w:rsidRPr="006F04CF">
        <w:t xml:space="preserve">In revised manuscript, page </w:t>
      </w:r>
      <w:r w:rsidR="007E7796">
        <w:rPr>
          <w:rFonts w:hint="eastAsia"/>
        </w:rPr>
        <w:t>7</w:t>
      </w:r>
      <w:r>
        <w:rPr>
          <w:rFonts w:hint="eastAsia"/>
        </w:rPr>
        <w:t>-</w:t>
      </w:r>
      <w:r w:rsidR="007E7796">
        <w:rPr>
          <w:rFonts w:hint="eastAsia"/>
        </w:rPr>
        <w:t>10</w:t>
      </w:r>
      <w:r w:rsidRPr="006F04CF">
        <w:t xml:space="preserve">, line </w:t>
      </w:r>
      <w:r w:rsidR="00C71C8F">
        <w:rPr>
          <w:rFonts w:hint="eastAsia"/>
        </w:rPr>
        <w:t>213</w:t>
      </w:r>
      <w:r>
        <w:rPr>
          <w:rFonts w:hint="eastAsia"/>
        </w:rPr>
        <w:t>-</w:t>
      </w:r>
      <w:r w:rsidR="00C71C8F">
        <w:rPr>
          <w:rFonts w:hint="eastAsia"/>
        </w:rPr>
        <w:t>304</w:t>
      </w:r>
      <w:r>
        <w:t>) explaining how the bibliometric findings reveal three converging research areas: mechanical performance and bonding mechanisms, construction techniques and durability assessment, and numerical simulation and structural design optimization. We note that recent years have seen the emergence of a research branch focusing on advanced material modification.</w:t>
      </w:r>
    </w:p>
    <w:p w14:paraId="06EDDF44" w14:textId="22E0761C" w:rsidR="006F04CF" w:rsidRDefault="006F04CF" w:rsidP="006F04CF">
      <w:pPr>
        <w:spacing w:before="0" w:beforeAutospacing="0" w:after="0" w:afterAutospacing="0" w:line="300" w:lineRule="auto"/>
      </w:pPr>
      <w:r>
        <w:t>The temporal analysis of keyword trends, visualized in the newly added Figure 4, demonstrates how research priorities have evolved. We discuss specific patterns: "The consistent rise in both the frequency and prominence of 'seismic performance' and 'seismic behavior' implies that many recent studies have examined in depth the safety, ductility, and energy-dissipating capacity of prefabricated grouted sleeve connections with different grouting materials." The analysis of "bond strength" keywords reaching peak occurrence in 2022 directly informed our emphasis on bonding mechanics across material categories. Similarly, the recent emergence of "insufficient grouting" as a prominent keyword motivated our detailed examination of flowability and workability factors.</w:t>
      </w:r>
    </w:p>
    <w:p w14:paraId="46FCE8E2" w14:textId="74BF633A" w:rsidR="006F04CF" w:rsidRDefault="006F04CF" w:rsidP="006F04CF">
      <w:pPr>
        <w:spacing w:before="0" w:beforeAutospacing="0" w:after="0" w:afterAutospacing="0" w:line="300" w:lineRule="auto"/>
      </w:pPr>
      <w:r>
        <w:t>We further explain how the bibliometric findings revealed specific parameter influences that guided our material classification: "Among existing research on parameter effects, Zhu et al. [42] proposed models indicating that shear strength, shear failure surface, and expansion rate of different grouting materials numerically affect load-bearing capacity. Ji et al. [13] demonstrated that filling capacity and flowability are critical determinants of grouting density."</w:t>
      </w:r>
    </w:p>
    <w:p w14:paraId="502787D7" w14:textId="1D41D765" w:rsidR="00DB081A" w:rsidRPr="00DB081A" w:rsidRDefault="00DB081A" w:rsidP="00DB081A">
      <w:pPr>
        <w:ind w:firstLine="482"/>
        <w:rPr>
          <w:b/>
          <w:bCs/>
        </w:rPr>
      </w:pPr>
      <w:r>
        <w:rPr>
          <w:rFonts w:hint="eastAsia"/>
          <w:b/>
          <w:bCs/>
        </w:rPr>
        <w:t>8.</w:t>
      </w:r>
      <w:r w:rsidRPr="00DB081A">
        <w:rPr>
          <w:b/>
          <w:bCs/>
        </w:rPr>
        <w:t xml:space="preserve"> Kindly ensure all figures are embedded correctly and referenced in the text with descriptive captions. Discuss key insights from each figure.</w:t>
      </w:r>
    </w:p>
    <w:p w14:paraId="17932F3B" w14:textId="034A7D63" w:rsidR="00DB081A" w:rsidRDefault="0002054E" w:rsidP="00DB081A">
      <w:pPr>
        <w:spacing w:before="0" w:beforeAutospacing="0" w:after="0" w:afterAutospacing="0" w:line="300" w:lineRule="auto"/>
      </w:pPr>
      <w:r>
        <w:rPr>
          <w:rFonts w:hint="eastAsia"/>
        </w:rPr>
        <w:t>A</w:t>
      </w:r>
      <w:r w:rsidR="001A687A" w:rsidRPr="001A687A">
        <w:t>ll figures throughout the manuscript have been carefully re-embedded in high resolution, given substantially more descriptive captions, and explicitly discussed in the main text to ensure readers understand their significance and contributions to the overall argument.</w:t>
      </w:r>
    </w:p>
    <w:p w14:paraId="0487A209" w14:textId="4B55CD4D" w:rsidR="00DB081A" w:rsidRPr="00DB081A" w:rsidRDefault="00DB081A" w:rsidP="00DB081A">
      <w:pPr>
        <w:ind w:firstLine="482"/>
        <w:rPr>
          <w:b/>
          <w:bCs/>
        </w:rPr>
      </w:pPr>
      <w:r>
        <w:rPr>
          <w:rFonts w:hint="eastAsia"/>
          <w:b/>
          <w:bCs/>
        </w:rPr>
        <w:t>9.</w:t>
      </w:r>
      <w:r w:rsidRPr="00DB081A">
        <w:rPr>
          <w:b/>
          <w:bCs/>
        </w:rPr>
        <w:t xml:space="preserve"> Kindly develop comparative tables for each material type, highlighting performance metrics, environmental considerations, and typical use scenarios.</w:t>
      </w:r>
    </w:p>
    <w:p w14:paraId="3B0AC725" w14:textId="77777777" w:rsidR="00A93505" w:rsidRPr="00A93505" w:rsidRDefault="00A93505" w:rsidP="00A93505">
      <w:pPr>
        <w:spacing w:before="0" w:beforeAutospacing="0" w:after="0" w:afterAutospacing="0" w:line="300" w:lineRule="auto"/>
      </w:pPr>
      <w:r w:rsidRPr="00A93505">
        <w:t>We have developed comprehensive comparative tables systematically presenting composition, properties, and performance characteristics for each major material category.</w:t>
      </w:r>
    </w:p>
    <w:p w14:paraId="278697EE" w14:textId="3F58727F" w:rsidR="00A93505" w:rsidRPr="00A93505" w:rsidRDefault="00A93505" w:rsidP="00A93505">
      <w:pPr>
        <w:spacing w:before="0" w:beforeAutospacing="0" w:after="0" w:afterAutospacing="0" w:line="300" w:lineRule="auto"/>
      </w:pPr>
      <w:r w:rsidRPr="00A93505">
        <w:t>Table 2 (</w:t>
      </w:r>
      <w:r w:rsidR="00184772" w:rsidRPr="0084588C">
        <w:t>In revised manuscript,</w:t>
      </w:r>
      <w:r w:rsidR="00184772">
        <w:rPr>
          <w:rFonts w:hint="eastAsia"/>
        </w:rPr>
        <w:t xml:space="preserve"> </w:t>
      </w:r>
      <w:r w:rsidR="00AB33DA" w:rsidRPr="00AB33DA">
        <w:t xml:space="preserve">page </w:t>
      </w:r>
      <w:r w:rsidR="00AB33DA">
        <w:rPr>
          <w:rFonts w:hint="eastAsia"/>
        </w:rPr>
        <w:t>11</w:t>
      </w:r>
      <w:r w:rsidR="00AB33DA" w:rsidRPr="00AB33DA">
        <w:t>-</w:t>
      </w:r>
      <w:r w:rsidR="00AB33DA">
        <w:rPr>
          <w:rFonts w:hint="eastAsia"/>
        </w:rPr>
        <w:t>12</w:t>
      </w:r>
      <w:r w:rsidR="00AB33DA" w:rsidRPr="00AB33DA">
        <w:t xml:space="preserve">, line </w:t>
      </w:r>
      <w:r w:rsidR="00AB33DA">
        <w:rPr>
          <w:rFonts w:hint="eastAsia"/>
        </w:rPr>
        <w:t>353</w:t>
      </w:r>
      <w:r w:rsidRPr="00A93505">
        <w:t>) presents detailed composition and properties of conventional cementitious grouting materials, documenting studies by Wang, Pan et al., and others. Each entry specifies constituent materials with precise proportions, optimal mixing ratios, and resulting characteristics including compressive strength values, flowability measurements, and vertical expansion performance.</w:t>
      </w:r>
    </w:p>
    <w:p w14:paraId="717F55DB" w14:textId="1F08CEA5" w:rsidR="00A93505" w:rsidRPr="00A93505" w:rsidRDefault="00A93505" w:rsidP="00A93505">
      <w:pPr>
        <w:spacing w:before="0" w:beforeAutospacing="0" w:after="0" w:afterAutospacing="0" w:line="300" w:lineRule="auto"/>
      </w:pPr>
      <w:r w:rsidRPr="00A93505">
        <w:t xml:space="preserve">Table 3 </w:t>
      </w:r>
      <w:r w:rsidR="000B13B9" w:rsidRPr="00A93505">
        <w:t>(</w:t>
      </w:r>
      <w:r w:rsidR="000B13B9" w:rsidRPr="0084588C">
        <w:t>In revised manuscript,</w:t>
      </w:r>
      <w:r w:rsidR="000B13B9">
        <w:rPr>
          <w:rFonts w:hint="eastAsia"/>
        </w:rPr>
        <w:t xml:space="preserve"> </w:t>
      </w:r>
      <w:r w:rsidR="000B13B9" w:rsidRPr="00AB33DA">
        <w:t xml:space="preserve">page </w:t>
      </w:r>
      <w:r w:rsidR="00761FA5">
        <w:rPr>
          <w:rFonts w:hint="eastAsia"/>
        </w:rPr>
        <w:t>12</w:t>
      </w:r>
      <w:r w:rsidR="000B13B9" w:rsidRPr="00AB33DA">
        <w:t>-</w:t>
      </w:r>
      <w:r w:rsidR="00761FA5">
        <w:rPr>
          <w:rFonts w:hint="eastAsia"/>
        </w:rPr>
        <w:t>13</w:t>
      </w:r>
      <w:r w:rsidR="000B13B9" w:rsidRPr="00AB33DA">
        <w:t xml:space="preserve">, line </w:t>
      </w:r>
      <w:r w:rsidR="000B13B9">
        <w:rPr>
          <w:rFonts w:hint="eastAsia"/>
        </w:rPr>
        <w:t>3</w:t>
      </w:r>
      <w:r w:rsidR="00761FA5">
        <w:rPr>
          <w:rFonts w:hint="eastAsia"/>
        </w:rPr>
        <w:t>94</w:t>
      </w:r>
      <w:r w:rsidR="000B13B9" w:rsidRPr="00A93505">
        <w:t>)</w:t>
      </w:r>
      <w:r w:rsidRPr="00A93505">
        <w:t xml:space="preserve"> focuses on fiber-reinforced grouting materials, systematically comparing studies by Zhang et al., Yan, and Jiang et al. across different fiber types including polypropylene, PVA, basalt, carbon, and steel fibers. The table documents optimal fiber content and length for each type, alongside quantified property effects such as the observation that polypropylene fiber at 0.5% content and 9mm length improves compressive strength and ductility, while the effect on flowability follows the pattern: Polypropylene fiber &gt; Basalt fiber &gt; PVA fiber.</w:t>
      </w:r>
    </w:p>
    <w:p w14:paraId="3D0DAEF1" w14:textId="4CE3DE51" w:rsidR="00A93505" w:rsidRPr="00A93505" w:rsidRDefault="00A93505" w:rsidP="00A93505">
      <w:pPr>
        <w:spacing w:before="0" w:beforeAutospacing="0" w:after="0" w:afterAutospacing="0" w:line="300" w:lineRule="auto"/>
      </w:pPr>
      <w:r w:rsidRPr="00A93505">
        <w:t xml:space="preserve">Table 4 </w:t>
      </w:r>
      <w:r w:rsidR="00761FA5" w:rsidRPr="00A93505">
        <w:t>(</w:t>
      </w:r>
      <w:r w:rsidR="00761FA5" w:rsidRPr="0084588C">
        <w:t>In revised manuscript,</w:t>
      </w:r>
      <w:r w:rsidR="00761FA5">
        <w:rPr>
          <w:rFonts w:hint="eastAsia"/>
        </w:rPr>
        <w:t xml:space="preserve"> </w:t>
      </w:r>
      <w:r w:rsidR="00761FA5" w:rsidRPr="00AB33DA">
        <w:t xml:space="preserve">page </w:t>
      </w:r>
      <w:r w:rsidR="00761FA5">
        <w:rPr>
          <w:rFonts w:hint="eastAsia"/>
        </w:rPr>
        <w:t>1</w:t>
      </w:r>
      <w:r w:rsidR="00B71B78">
        <w:rPr>
          <w:rFonts w:hint="eastAsia"/>
        </w:rPr>
        <w:t>3</w:t>
      </w:r>
      <w:r w:rsidR="00761FA5" w:rsidRPr="00AB33DA">
        <w:t>-</w:t>
      </w:r>
      <w:r w:rsidR="00761FA5">
        <w:rPr>
          <w:rFonts w:hint="eastAsia"/>
        </w:rPr>
        <w:t>1</w:t>
      </w:r>
      <w:r w:rsidR="00B71B78">
        <w:rPr>
          <w:rFonts w:hint="eastAsia"/>
        </w:rPr>
        <w:t>4</w:t>
      </w:r>
      <w:r w:rsidR="00761FA5" w:rsidRPr="00AB33DA">
        <w:t xml:space="preserve">, line </w:t>
      </w:r>
      <w:r w:rsidR="00EF4887">
        <w:rPr>
          <w:rFonts w:hint="eastAsia"/>
        </w:rPr>
        <w:t>419</w:t>
      </w:r>
      <w:r w:rsidR="00761FA5" w:rsidRPr="00A93505">
        <w:t>)</w:t>
      </w:r>
      <w:r w:rsidRPr="00A93505">
        <w:t xml:space="preserve"> compiles studies on UHPC-based grouting materials, detailing constituent proportions and resulting mechanical performance. Entries document how different formulations achieve compressive strengths ranging from 105.2 to 128.4 MPa and flexural strengths from 14.4 to 22.2 MPa, with specific notes on the influence of steel fiber inclusion.</w:t>
      </w:r>
    </w:p>
    <w:p w14:paraId="50FD1B1B" w14:textId="5A90F4B3" w:rsidR="00A93505" w:rsidRPr="00A93505" w:rsidRDefault="00A93505" w:rsidP="00A93505">
      <w:pPr>
        <w:spacing w:before="0" w:beforeAutospacing="0" w:after="0" w:afterAutospacing="0" w:line="300" w:lineRule="auto"/>
      </w:pPr>
      <w:r w:rsidRPr="00A93505">
        <w:t xml:space="preserve">Table 5 </w:t>
      </w:r>
      <w:r w:rsidR="00761FA5" w:rsidRPr="00A93505">
        <w:t>(</w:t>
      </w:r>
      <w:r w:rsidR="00761FA5" w:rsidRPr="0084588C">
        <w:t>In revised manuscript,</w:t>
      </w:r>
      <w:r w:rsidR="00761FA5">
        <w:rPr>
          <w:rFonts w:hint="eastAsia"/>
        </w:rPr>
        <w:t xml:space="preserve"> </w:t>
      </w:r>
      <w:r w:rsidR="00761FA5" w:rsidRPr="00AB33DA">
        <w:t xml:space="preserve">page </w:t>
      </w:r>
      <w:r w:rsidR="00761FA5">
        <w:rPr>
          <w:rFonts w:hint="eastAsia"/>
        </w:rPr>
        <w:t>1</w:t>
      </w:r>
      <w:r w:rsidR="00373AC7">
        <w:rPr>
          <w:rFonts w:hint="eastAsia"/>
        </w:rPr>
        <w:t>8</w:t>
      </w:r>
      <w:r w:rsidR="00761FA5" w:rsidRPr="00AB33DA">
        <w:t>-</w:t>
      </w:r>
      <w:r w:rsidR="00373AC7">
        <w:rPr>
          <w:rFonts w:hint="eastAsia"/>
        </w:rPr>
        <w:t>20</w:t>
      </w:r>
      <w:r w:rsidR="00761FA5" w:rsidRPr="00AB33DA">
        <w:t xml:space="preserve">, line </w:t>
      </w:r>
      <w:r w:rsidR="00373AC7">
        <w:rPr>
          <w:rFonts w:hint="eastAsia"/>
        </w:rPr>
        <w:t>536</w:t>
      </w:r>
      <w:r w:rsidR="00761FA5" w:rsidRPr="00A93505">
        <w:t>)</w:t>
      </w:r>
      <w:r w:rsidRPr="00A93505">
        <w:t xml:space="preserve"> provides the most extensive comparison, systematically documenting the role and impact of various chemical admixtures. For each admixture type—water-reducing agents, defoamers, early strength agents, and expansive agents—the table presents multiple studies, types of grouting materials tested, and specific quantified property effects. For example, the defoamer section documents that Huang et al. found silicone oil-based defoamer at 0.005-0.0075% dosage increased initial flowability by 10%, maximum wet apparent density by 5.11%, and 28-day compressive strength by 33.2-43.2%.</w:t>
      </w:r>
    </w:p>
    <w:p w14:paraId="625FDE34" w14:textId="38F39FF1" w:rsidR="00DB081A" w:rsidRPr="00A93505" w:rsidRDefault="00A93505" w:rsidP="00170196">
      <w:pPr>
        <w:spacing w:before="0" w:beforeAutospacing="0" w:after="0" w:afterAutospacing="0" w:line="300" w:lineRule="auto"/>
      </w:pPr>
      <w:r w:rsidRPr="00A93505">
        <w:t xml:space="preserve">Beyond these tables, we have added substantial comparative analysis in the Discussion section </w:t>
      </w:r>
      <w:r w:rsidR="0078092A" w:rsidRPr="0078092A">
        <w:t xml:space="preserve">(In revised manuscript, page </w:t>
      </w:r>
      <w:r w:rsidR="00F835A3">
        <w:rPr>
          <w:rFonts w:hint="eastAsia"/>
        </w:rPr>
        <w:t>2</w:t>
      </w:r>
      <w:r w:rsidR="00B06328">
        <w:rPr>
          <w:rFonts w:hint="eastAsia"/>
        </w:rPr>
        <w:t>7</w:t>
      </w:r>
      <w:r w:rsidR="0078092A" w:rsidRPr="0078092A">
        <w:t>-</w:t>
      </w:r>
      <w:r w:rsidR="00F835A3">
        <w:rPr>
          <w:rFonts w:hint="eastAsia"/>
        </w:rPr>
        <w:t>2</w:t>
      </w:r>
      <w:r w:rsidR="00B06328">
        <w:rPr>
          <w:rFonts w:hint="eastAsia"/>
        </w:rPr>
        <w:t>8</w:t>
      </w:r>
      <w:r w:rsidR="0078092A" w:rsidRPr="0078092A">
        <w:t xml:space="preserve">, line </w:t>
      </w:r>
      <w:r w:rsidR="008306EB">
        <w:rPr>
          <w:rFonts w:hint="eastAsia"/>
        </w:rPr>
        <w:t>872-874</w:t>
      </w:r>
      <w:r w:rsidR="0078092A" w:rsidRPr="0078092A">
        <w:t>)</w:t>
      </w:r>
      <w:r w:rsidRPr="00A93505">
        <w:t xml:space="preserve">. Figure </w:t>
      </w:r>
      <w:r w:rsidR="00170196">
        <w:rPr>
          <w:rFonts w:hint="eastAsia"/>
        </w:rPr>
        <w:t>10</w:t>
      </w:r>
      <w:r w:rsidRPr="00A93505">
        <w:t xml:space="preserve"> provides a comprehensive bar chart comparing compressive and flexural strengths across all material types studied in the literature, while Figure 1</w:t>
      </w:r>
      <w:r w:rsidR="00170196">
        <w:rPr>
          <w:rFonts w:hint="eastAsia"/>
        </w:rPr>
        <w:t>1</w:t>
      </w:r>
      <w:r w:rsidRPr="00A93505">
        <w:t xml:space="preserve"> compares flowability properties.</w:t>
      </w:r>
    </w:p>
    <w:p w14:paraId="12DC4DCE" w14:textId="22E25E50" w:rsidR="00DB081A" w:rsidRPr="00DB081A" w:rsidRDefault="00DB081A" w:rsidP="00DB081A">
      <w:pPr>
        <w:ind w:firstLine="482"/>
        <w:rPr>
          <w:b/>
          <w:bCs/>
        </w:rPr>
      </w:pPr>
      <w:r>
        <w:rPr>
          <w:rFonts w:hint="eastAsia"/>
          <w:b/>
          <w:bCs/>
        </w:rPr>
        <w:t>10.</w:t>
      </w:r>
      <w:r w:rsidRPr="00DB081A">
        <w:rPr>
          <w:b/>
          <w:bCs/>
        </w:rPr>
        <w:t xml:space="preserve"> Kindly expand the discussion on environmental durability, including microstructural mechanisms and mitigation strategies. Consider adding a subsection on testing standards and long-term performance data.</w:t>
      </w:r>
    </w:p>
    <w:p w14:paraId="28A1944E" w14:textId="7B11634E" w:rsidR="00DB081A" w:rsidRDefault="00E62C68" w:rsidP="005805F8">
      <w:pPr>
        <w:spacing w:before="0" w:beforeAutospacing="0" w:after="0" w:afterAutospacing="0" w:line="300" w:lineRule="auto"/>
      </w:pPr>
      <w:r w:rsidRPr="00E62C68">
        <w:t xml:space="preserve">A new subsection on </w:t>
      </w:r>
      <w:proofErr w:type="spellStart"/>
      <w:r w:rsidRPr="00E62C68">
        <w:t>micromechanisms</w:t>
      </w:r>
      <w:proofErr w:type="spellEnd"/>
      <w:r w:rsidRPr="00E62C68">
        <w:t xml:space="preserve"> has been added to Section 4.5</w:t>
      </w:r>
      <w:r>
        <w:rPr>
          <w:rFonts w:hint="eastAsia"/>
        </w:rPr>
        <w:t xml:space="preserve"> </w:t>
      </w:r>
      <w:r w:rsidRPr="00E62C68">
        <w:t xml:space="preserve">(In revised manuscript, page </w:t>
      </w:r>
      <w:r w:rsidR="0048608B">
        <w:rPr>
          <w:rFonts w:hint="eastAsia"/>
        </w:rPr>
        <w:t>17</w:t>
      </w:r>
      <w:r w:rsidRPr="00E62C68">
        <w:t>-</w:t>
      </w:r>
      <w:r w:rsidR="0048608B">
        <w:rPr>
          <w:rFonts w:hint="eastAsia"/>
        </w:rPr>
        <w:t>18</w:t>
      </w:r>
      <w:r w:rsidRPr="00E62C68">
        <w:t xml:space="preserve">, line </w:t>
      </w:r>
      <w:r w:rsidR="0048608B">
        <w:rPr>
          <w:rFonts w:hint="eastAsia"/>
        </w:rPr>
        <w:t>52</w:t>
      </w:r>
      <w:r w:rsidR="00E4526E">
        <w:rPr>
          <w:rFonts w:hint="eastAsia"/>
        </w:rPr>
        <w:t>8</w:t>
      </w:r>
      <w:r w:rsidRPr="00E62C68">
        <w:t>), which systematically establishes the microstructural foundation for understanding grout performance and degradation. This subsection describes hydration products, pore structure characteristics, and interfacial transition zone properties, providing the theoretical basis for interpreting environmental degradation behaviors discussed later in the manuscript. The discussion clarifies how pore size distribution, hydration product morphology, and ITZ characteristics govern macroscopic properties such as strength, permeability, and durability.</w:t>
      </w:r>
    </w:p>
    <w:p w14:paraId="5ED6B719" w14:textId="04EDC86A" w:rsidR="00731BCD" w:rsidRDefault="00731BCD" w:rsidP="00731BCD">
      <w:pPr>
        <w:spacing w:before="0" w:beforeAutospacing="0" w:after="0" w:afterAutospacing="0" w:line="300" w:lineRule="auto"/>
      </w:pPr>
      <w:r>
        <w:t xml:space="preserve">Section 5 </w:t>
      </w:r>
      <w:r w:rsidR="00D51846" w:rsidRPr="00D51846">
        <w:t>(In revised manuscript, page 18, line 5</w:t>
      </w:r>
      <w:r w:rsidR="008C3F2A">
        <w:rPr>
          <w:rFonts w:hint="eastAsia"/>
        </w:rPr>
        <w:t>63</w:t>
      </w:r>
      <w:r w:rsidR="00D51846" w:rsidRPr="00D51846">
        <w:t>)</w:t>
      </w:r>
      <w:r w:rsidR="00D51846">
        <w:rPr>
          <w:rFonts w:hint="eastAsia"/>
        </w:rPr>
        <w:t xml:space="preserve"> </w:t>
      </w:r>
      <w:r>
        <w:t>on chemical admixtures and supplementary materials has been enhanced to explicitly connect admixture effects with microstructural modifications. The revised text explains the mechanisms through which defoamers refine pore structure, how superplasticizers operate at the particle dispersion level, and how mineral admixtures densify the cement matrix and ITZ. These mechanistic explanations provide a clearer understanding of how material formulation influences long-term durability.</w:t>
      </w:r>
    </w:p>
    <w:p w14:paraId="561A5F29" w14:textId="2E9A9D38" w:rsidR="00E62C68" w:rsidRDefault="00731BCD" w:rsidP="00731BCD">
      <w:pPr>
        <w:spacing w:before="0" w:beforeAutospacing="0" w:after="0" w:afterAutospacing="0" w:line="300" w:lineRule="auto"/>
      </w:pPr>
      <w:r>
        <w:t>Section 6</w:t>
      </w:r>
      <w:r w:rsidR="00F24FB4">
        <w:rPr>
          <w:rFonts w:hint="eastAsia"/>
        </w:rPr>
        <w:t xml:space="preserve"> </w:t>
      </w:r>
      <w:r w:rsidR="00F24FB4" w:rsidRPr="00D51846">
        <w:t xml:space="preserve">(In revised manuscript, page </w:t>
      </w:r>
      <w:r w:rsidR="00F24FB4">
        <w:rPr>
          <w:rFonts w:hint="eastAsia"/>
        </w:rPr>
        <w:t>23</w:t>
      </w:r>
      <w:r w:rsidR="00F24FB4" w:rsidRPr="00D51846">
        <w:t xml:space="preserve">, line </w:t>
      </w:r>
      <w:r w:rsidR="00F24FB4">
        <w:rPr>
          <w:rFonts w:hint="eastAsia"/>
        </w:rPr>
        <w:t>729</w:t>
      </w:r>
      <w:r w:rsidR="00F24FB4" w:rsidRPr="00D51846">
        <w:t>)</w:t>
      </w:r>
      <w:r>
        <w:t xml:space="preserve"> on environmental factors has been expanded to integrate microstructural degradation mechanisms with macroscopic performance changes. For high-temperature exposure, the discussion now details the coupled chemical and physical processes driving thermal degradation, supported by microstructural evidence. The freeze-thaw section explains pore-water expansion mechanisms and cumulative damage evolution. The chloride intrusion discussion addresses electrochemical corrosion processes at multiple interfaces. Importantly, we have added extensive treatment of coupled environmental effects, which represents a significant gap in existing sleeve grout literature. The revised text presents quantitative evidence that synergistic interactions among multiple environmental factors substantially amplify degradation beyond what single-factor testing would predict.</w:t>
      </w:r>
    </w:p>
    <w:p w14:paraId="10F8FA8B" w14:textId="7F2BC309" w:rsidR="007B2892" w:rsidRDefault="007B2892" w:rsidP="00731BCD">
      <w:pPr>
        <w:spacing w:before="0" w:beforeAutospacing="0" w:after="0" w:afterAutospacing="0" w:line="300" w:lineRule="auto"/>
      </w:pPr>
      <w:r w:rsidRPr="007B2892">
        <w:t xml:space="preserve">Regarding testing standards and long-term performance data, we have incorporated relevant standard references and performance benchmarks throughout the manuscript where contextually appropriate. Long-term exposure data spanning hundreds of freeze-thaw cycles extended thermal exposure, and prolonged chemical attack under various conditions are now integrated within mechanistic discussions. We have explained in Section </w:t>
      </w:r>
      <w:r w:rsidR="00FD0D68">
        <w:rPr>
          <w:rFonts w:hint="eastAsia"/>
        </w:rPr>
        <w:t>7&amp;</w:t>
      </w:r>
      <w:r w:rsidRPr="007B2892">
        <w:t>8</w:t>
      </w:r>
      <w:r w:rsidR="00B061D7">
        <w:rPr>
          <w:rFonts w:hint="eastAsia"/>
        </w:rPr>
        <w:t xml:space="preserve"> </w:t>
      </w:r>
      <w:r w:rsidR="00B061D7" w:rsidRPr="00B061D7">
        <w:t xml:space="preserve">(In revised manuscript, page </w:t>
      </w:r>
      <w:r w:rsidR="00C6752F">
        <w:rPr>
          <w:rFonts w:hint="eastAsia"/>
        </w:rPr>
        <w:t>26</w:t>
      </w:r>
      <w:r w:rsidR="00B061D7" w:rsidRPr="00B061D7">
        <w:t xml:space="preserve">, line </w:t>
      </w:r>
      <w:r w:rsidR="00C6752F">
        <w:rPr>
          <w:rFonts w:hint="eastAsia"/>
        </w:rPr>
        <w:t xml:space="preserve">846 &amp; </w:t>
      </w:r>
      <w:r w:rsidR="00C6752F" w:rsidRPr="00B061D7">
        <w:t xml:space="preserve">page </w:t>
      </w:r>
      <w:r w:rsidR="005F4B30">
        <w:rPr>
          <w:rFonts w:hint="eastAsia"/>
        </w:rPr>
        <w:t>30</w:t>
      </w:r>
      <w:r w:rsidR="00C6752F" w:rsidRPr="00B061D7">
        <w:t xml:space="preserve">, line </w:t>
      </w:r>
      <w:r w:rsidR="005F4B30">
        <w:rPr>
          <w:rFonts w:hint="eastAsia"/>
        </w:rPr>
        <w:t>954</w:t>
      </w:r>
      <w:r w:rsidR="00B061D7" w:rsidRPr="00B061D7">
        <w:t>)</w:t>
      </w:r>
      <w:r w:rsidRPr="007B2892">
        <w:t xml:space="preserve"> to explicitly identify the need for </w:t>
      </w:r>
      <w:proofErr w:type="gramStart"/>
      <w:r w:rsidRPr="007B2892">
        <w:t>systematic</w:t>
      </w:r>
      <w:proofErr w:type="gramEnd"/>
      <w:r w:rsidRPr="007B2892">
        <w:t xml:space="preserve"> testing protocols under coupled environmental conditions and to recommend </w:t>
      </w:r>
      <w:proofErr w:type="gramStart"/>
      <w:r w:rsidRPr="007B2892">
        <w:t>advanced characterization</w:t>
      </w:r>
      <w:proofErr w:type="gramEnd"/>
      <w:r w:rsidRPr="007B2892">
        <w:t xml:space="preserve"> approaches that can capture multi-scale degradation processes and inform predictive modeling.</w:t>
      </w:r>
    </w:p>
    <w:p w14:paraId="59C33E37" w14:textId="46C898B8" w:rsidR="00DB081A" w:rsidRPr="00DB081A" w:rsidRDefault="00DB081A" w:rsidP="00DB081A">
      <w:pPr>
        <w:ind w:firstLine="482"/>
        <w:rPr>
          <w:b/>
          <w:bCs/>
        </w:rPr>
      </w:pPr>
      <w:r w:rsidRPr="00DB081A">
        <w:rPr>
          <w:rFonts w:hint="eastAsia"/>
          <w:b/>
          <w:bCs/>
        </w:rPr>
        <w:t>11.</w:t>
      </w:r>
      <w:r w:rsidRPr="00DB081A">
        <w:rPr>
          <w:b/>
          <w:bCs/>
        </w:rPr>
        <w:t xml:space="preserve"> Kindly include a critical assessment of research gaps, especially regarding practical implementation, cost-effectiveness, and environmental sustainability. Please suggest specific research needs, like lifecycle assessments.</w:t>
      </w:r>
    </w:p>
    <w:p w14:paraId="2C425633" w14:textId="7E14F623" w:rsidR="008F6289" w:rsidRDefault="008F6289" w:rsidP="008F6289">
      <w:r>
        <w:t>Regarding research gaps in practical implementation, we have expanded the discussion on page 21 (</w:t>
      </w:r>
      <w:r w:rsidR="009A3BE8" w:rsidRPr="0078092A">
        <w:t xml:space="preserve">In revised manuscript, page </w:t>
      </w:r>
      <w:r w:rsidR="009A3BE8">
        <w:rPr>
          <w:rFonts w:hint="eastAsia"/>
        </w:rPr>
        <w:t>15</w:t>
      </w:r>
      <w:r w:rsidR="009A3BE8" w:rsidRPr="0078092A">
        <w:t xml:space="preserve">, line </w:t>
      </w:r>
      <w:r w:rsidR="009A3BE8">
        <w:rPr>
          <w:rFonts w:hint="eastAsia"/>
        </w:rPr>
        <w:t xml:space="preserve">437, </w:t>
      </w:r>
      <w:r>
        <w:t>Section 4.3, paragraph beginning "Both studies confirmed that adding steel fibers...") to explicitly address the divergent findings between Wang et al. and Fu et al. on fiber-reinforced UHPC performance in sleeves. We now clarify that these contradictory results reflect the sensitivity of grouted-sleeve performance to boundary conditions, including sleeve geometry, design details, and grouting processes. This analysis highlights a fundamental gap: the lack of standardized testing protocols that account for real-world assembly constraints. We further identify this implementation gap on page 22 (</w:t>
      </w:r>
      <w:r w:rsidR="002856F3" w:rsidRPr="0078092A">
        <w:t xml:space="preserve">In revised manuscript, page </w:t>
      </w:r>
      <w:r w:rsidR="002856F3">
        <w:rPr>
          <w:rFonts w:hint="eastAsia"/>
        </w:rPr>
        <w:t>15</w:t>
      </w:r>
      <w:r w:rsidR="002856F3" w:rsidRPr="0078092A">
        <w:t xml:space="preserve">, line </w:t>
      </w:r>
      <w:r w:rsidR="002856F3">
        <w:rPr>
          <w:rFonts w:hint="eastAsia"/>
        </w:rPr>
        <w:t xml:space="preserve">460, </w:t>
      </w:r>
      <w:r w:rsidR="002856F3">
        <w:t>Section 4.3,</w:t>
      </w:r>
      <w:r w:rsidR="002856F3">
        <w:rPr>
          <w:rFonts w:hint="eastAsia"/>
        </w:rPr>
        <w:t xml:space="preserve"> </w:t>
      </w:r>
      <w:r>
        <w:t>final paragraph beginning "Overall, by virtue of its high compressive strength...") where we explicitly state that "current research lacks comprehensive interface bonding and failure prediction models that apply across varied scales and stress states, as well as quantitative investigations into how grouting defects affect overall connection performance."</w:t>
      </w:r>
    </w:p>
    <w:p w14:paraId="5D3671F4" w14:textId="03A04653" w:rsidR="008F6289" w:rsidRDefault="008F6289" w:rsidP="008F6289">
      <w:r>
        <w:t>The manuscript now provides a thorough assessment of cost-effectiveness integrated with sustainability considerations. On page 26 (</w:t>
      </w:r>
      <w:r w:rsidR="00B31116" w:rsidRPr="0078092A">
        <w:t xml:space="preserve">In revised manuscript, page </w:t>
      </w:r>
      <w:r w:rsidR="00C05FC8">
        <w:rPr>
          <w:rFonts w:hint="eastAsia"/>
        </w:rPr>
        <w:t>23</w:t>
      </w:r>
      <w:r w:rsidR="00B31116" w:rsidRPr="0078092A">
        <w:t xml:space="preserve">, line </w:t>
      </w:r>
      <w:r w:rsidR="00C05FC8">
        <w:rPr>
          <w:rFonts w:hint="eastAsia"/>
        </w:rPr>
        <w:t>718</w:t>
      </w:r>
      <w:r w:rsidR="00B31116">
        <w:rPr>
          <w:rFonts w:hint="eastAsia"/>
        </w:rPr>
        <w:t xml:space="preserve">, </w:t>
      </w:r>
      <w:r>
        <w:t>Section 5, paragraph beginning "Beyond the reinforcement effects..."), we introduce emerging nano-strategies including GO-coated RCP and GO-coated steel fibers, explicitly quantifying their environmental benefits alongside mechanical performance. We state that "greenhouse gas emissions and primary energy demand per unit compressive strength are reduced by approximately 39.7% and 40.2%, respectively" for GO-RCP systems. On page 36 (</w:t>
      </w:r>
      <w:r w:rsidR="005519E4" w:rsidRPr="0078092A">
        <w:t xml:space="preserve">In revised manuscript, page </w:t>
      </w:r>
      <w:r w:rsidR="00353C01">
        <w:rPr>
          <w:rFonts w:hint="eastAsia"/>
        </w:rPr>
        <w:t>31</w:t>
      </w:r>
      <w:r w:rsidR="005519E4" w:rsidRPr="0078092A">
        <w:t xml:space="preserve">, line </w:t>
      </w:r>
      <w:r w:rsidR="00353C01">
        <w:rPr>
          <w:rFonts w:hint="eastAsia"/>
        </w:rPr>
        <w:t>971</w:t>
      </w:r>
      <w:r w:rsidR="005519E4">
        <w:rPr>
          <w:rFonts w:hint="eastAsia"/>
        </w:rPr>
        <w:t xml:space="preserve">, </w:t>
      </w:r>
      <w:r>
        <w:t>Section 8, paragraph beginning "However, in terms of cost, UHPC generally involves..."), we have added a comprehensive comparative analysis contrasting UHPC's higher material costs, stricter quality control requirements, and complex processing demands against high-performance CGM systems that achieve comparable durability through optimized mineral admixtures while offering superior cost-effectiveness and carbon reduction potential.</w:t>
      </w:r>
    </w:p>
    <w:p w14:paraId="02145A32" w14:textId="13DCADAA" w:rsidR="008F6289" w:rsidRDefault="008F6289" w:rsidP="008F6289">
      <w:r>
        <w:t xml:space="preserve">Environmental sustainability considerations are now critically evaluated across multiple dimensions. Section 8 </w:t>
      </w:r>
      <w:r w:rsidR="000C52D0">
        <w:rPr>
          <w:rFonts w:hint="eastAsia"/>
        </w:rPr>
        <w:t>w</w:t>
      </w:r>
      <w:r>
        <w:t>e demonstrate that substantial carbon emission reductions through mineral admixtures and recycled resources are feasible without compromising critical performance requirements, citing specific quantitative data: JGW replacement below twenty percent reduces embodied energy and CO₂ emissions by approximately sixteen percent, while high-proportion blast furnace slag replacement enhances mechanical performance while significantly reducing heavy metal leaching. We explicitly acknowledge, however, on page 28 (</w:t>
      </w:r>
      <w:r w:rsidR="00656D10" w:rsidRPr="0078092A">
        <w:t xml:space="preserve">In revised manuscript, page </w:t>
      </w:r>
      <w:r w:rsidR="00A83FAD">
        <w:rPr>
          <w:rFonts w:hint="eastAsia"/>
        </w:rPr>
        <w:t>30</w:t>
      </w:r>
      <w:r w:rsidR="00656D10" w:rsidRPr="0078092A">
        <w:t xml:space="preserve">, line </w:t>
      </w:r>
      <w:r w:rsidR="00A83FAD">
        <w:rPr>
          <w:rFonts w:hint="eastAsia"/>
        </w:rPr>
        <w:t>947</w:t>
      </w:r>
      <w:r w:rsidR="00656D10">
        <w:rPr>
          <w:rFonts w:hint="eastAsia"/>
        </w:rPr>
        <w:t xml:space="preserve">, </w:t>
      </w:r>
      <w:r>
        <w:t>Section 6, paragraph beginning "It should be emphasized that the literature review reveals..."), a critical gap in understanding coupled multi-environmental degradation mechanisms, noting that "existing research on sleeve grouting materials has separately explored the effects of individual environmental factors such as high temperature, freeze-thaw cycling, and chloride intrusion, but studies on the effects of coupled multi-environmental factors remain insufficient."</w:t>
      </w:r>
    </w:p>
    <w:p w14:paraId="68BC80DF" w14:textId="54D6719C" w:rsidR="002A1429" w:rsidRDefault="008F6289" w:rsidP="00A83FAD">
      <w:r>
        <w:t xml:space="preserve">While the manuscript quantifies embodied energy and CO₂ emissions for specific formulations (JGW, GO-RCP, slag systems), we acknowledge that comprehensive lifecycle assessments integrating raw material extraction, manufacturing energy consumption, transportation impacts, in-service performance durability, and end-of-life recyclability remain absent from </w:t>
      </w:r>
      <w:proofErr w:type="gramStart"/>
      <w:r>
        <w:t xml:space="preserve">the </w:t>
      </w:r>
      <w:r w:rsidR="008D7770">
        <w:rPr>
          <w:rFonts w:hint="eastAsia"/>
        </w:rPr>
        <w:t>our</w:t>
      </w:r>
      <w:proofErr w:type="gramEnd"/>
      <w:r>
        <w:t xml:space="preserve"> literature</w:t>
      </w:r>
      <w:r w:rsidR="008D7770">
        <w:rPr>
          <w:rFonts w:hint="eastAsia"/>
        </w:rPr>
        <w:t xml:space="preserve"> review</w:t>
      </w:r>
      <w:r>
        <w:t>.</w:t>
      </w:r>
    </w:p>
    <w:p w14:paraId="74E10C7E" w14:textId="56C1ED61" w:rsidR="00DB081A" w:rsidRPr="00DB081A" w:rsidRDefault="00DB081A" w:rsidP="00DB081A">
      <w:pPr>
        <w:ind w:firstLine="482"/>
        <w:rPr>
          <w:b/>
          <w:bCs/>
        </w:rPr>
      </w:pPr>
      <w:r w:rsidRPr="00DB081A">
        <w:rPr>
          <w:rFonts w:hint="eastAsia"/>
          <w:b/>
          <w:bCs/>
        </w:rPr>
        <w:t>12.</w:t>
      </w:r>
      <w:r w:rsidRPr="00DB081A">
        <w:rPr>
          <w:b/>
          <w:bCs/>
        </w:rPr>
        <w:t xml:space="preserve"> Revise the conclusion section by summarizing the key findings and highlighting their importance in bullet points.</w:t>
      </w:r>
    </w:p>
    <w:p w14:paraId="33A01804" w14:textId="75A6E1D2" w:rsidR="003F3B43" w:rsidRDefault="003F3B43" w:rsidP="003F3B43">
      <w:pPr>
        <w:spacing w:before="0" w:beforeAutospacing="0" w:after="0" w:afterAutospacing="0" w:line="300" w:lineRule="auto"/>
      </w:pPr>
      <w:r>
        <w:t xml:space="preserve">The revised conclusion now presents key findings by material category. </w:t>
      </w:r>
      <w:r w:rsidR="00D81056">
        <w:rPr>
          <w:rFonts w:hint="eastAsia"/>
        </w:rPr>
        <w:t>For example</w:t>
      </w:r>
      <w:r>
        <w:t xml:space="preserve">, we establish baseline performance metrics for conventional cementitious grouts (eighty to ninety-five megapascals compressive strength, three hundred to three hundred fifty millimeters flowability) and quantify improvements from fiber reinforcement (basalt fibers: twenty-two percent strength increase; carbon fibers: four </w:t>
      </w:r>
      <w:proofErr w:type="gramStart"/>
      <w:r>
        <w:t>point</w:t>
      </w:r>
      <w:proofErr w:type="gramEnd"/>
      <w:r>
        <w:t xml:space="preserve"> </w:t>
      </w:r>
      <w:proofErr w:type="gramStart"/>
      <w:r>
        <w:t>five to eighteen point</w:t>
      </w:r>
      <w:proofErr w:type="gramEnd"/>
      <w:r>
        <w:t xml:space="preserve"> two percent flowability reduction). We prominently feature that UHPC-grouted sleeves achieve full reinforcing bar strength with twenty-five to forty percent shorter anchorage lengths compared to conventional grouts.</w:t>
      </w:r>
    </w:p>
    <w:p w14:paraId="0E94C3A6" w14:textId="6D0A2E5D" w:rsidR="003F3B43" w:rsidRDefault="00EC7339" w:rsidP="003F3B43">
      <w:pPr>
        <w:spacing w:before="0" w:beforeAutospacing="0" w:after="0" w:afterAutospacing="0" w:line="300" w:lineRule="auto"/>
      </w:pPr>
      <w:r>
        <w:rPr>
          <w:rFonts w:hint="eastAsia"/>
        </w:rPr>
        <w:t>W</w:t>
      </w:r>
      <w:r w:rsidR="003F3B43">
        <w:t>e</w:t>
      </w:r>
      <w:r>
        <w:rPr>
          <w:rFonts w:hint="eastAsia"/>
        </w:rPr>
        <w:t xml:space="preserve"> also</w:t>
      </w:r>
      <w:r w:rsidR="003F3B43">
        <w:t xml:space="preserve"> consolidate cost-effectiveness and sustainability considerations, emphasizing that high-performance cementitious </w:t>
      </w:r>
      <w:proofErr w:type="gramStart"/>
      <w:r w:rsidR="003F3B43">
        <w:t>grouts</w:t>
      </w:r>
      <w:proofErr w:type="gramEnd"/>
      <w:r w:rsidR="003F3B43">
        <w:t xml:space="preserve"> with mineral admixtures offer carbon reduction (sixteen to forty percent for various systems) without compromising performance. Admixture effects are systematically quantified: silicone-based defoamers at optimal dosages increase strength by thirty-three to forty-three percent while reducing porosity by thirty-seven percent; calcium </w:t>
      </w:r>
      <w:proofErr w:type="spellStart"/>
      <w:r w:rsidR="003F3B43">
        <w:t>formate</w:t>
      </w:r>
      <w:proofErr w:type="spellEnd"/>
      <w:r w:rsidR="003F3B43">
        <w:t xml:space="preserve"> accelerators achieve fifty megapascals at one day.</w:t>
      </w:r>
    </w:p>
    <w:p w14:paraId="0D880AEB" w14:textId="12E848B3" w:rsidR="00DB081A" w:rsidRPr="00DB081A" w:rsidRDefault="00DB081A" w:rsidP="00DB081A">
      <w:pPr>
        <w:ind w:firstLine="482"/>
        <w:rPr>
          <w:b/>
          <w:bCs/>
        </w:rPr>
      </w:pPr>
      <w:r w:rsidRPr="00DB081A">
        <w:rPr>
          <w:rFonts w:hint="eastAsia"/>
          <w:b/>
          <w:bCs/>
        </w:rPr>
        <w:t>13.</w:t>
      </w:r>
      <w:r w:rsidRPr="00DB081A">
        <w:rPr>
          <w:b/>
          <w:bCs/>
        </w:rPr>
        <w:t xml:space="preserve"> The manuscript consists of grammatical errors. Kindly proofread the manuscript properly before submitting the revised version.</w:t>
      </w:r>
    </w:p>
    <w:p w14:paraId="048FFE1B" w14:textId="1CBC53EA" w:rsidR="00086630" w:rsidRDefault="00086630" w:rsidP="00086630">
      <w:pPr>
        <w:spacing w:before="0" w:beforeAutospacing="0" w:after="0" w:afterAutospacing="0" w:line="300" w:lineRule="auto"/>
      </w:pPr>
      <w:r>
        <w:rPr>
          <w:rFonts w:hint="eastAsia"/>
        </w:rPr>
        <w:t>W</w:t>
      </w:r>
      <w:r>
        <w:t xml:space="preserve">e have conducted </w:t>
      </w:r>
      <w:proofErr w:type="gramStart"/>
      <w:r>
        <w:t>a comprehensive</w:t>
      </w:r>
      <w:proofErr w:type="gramEnd"/>
      <w:r>
        <w:t xml:space="preserve"> proofreading of the entire manuscript to identify and correct grammatical errors throughout all sections.</w:t>
      </w:r>
    </w:p>
    <w:p w14:paraId="5201B45B" w14:textId="77777777" w:rsidR="00086630" w:rsidRDefault="00086630" w:rsidP="00086630">
      <w:pPr>
        <w:spacing w:before="0" w:beforeAutospacing="0" w:after="0" w:afterAutospacing="0" w:line="300" w:lineRule="auto"/>
      </w:pPr>
      <w:r>
        <w:t>We have addressed multiple categories of issues including subject-verb agreement, verb tense consistency, article usage, preposition accuracy, and punctuation. And attention was given to improving sentence clarity by breaking overly long compound sentences into shorter statements, especially in Sections 4 through 6 where complex technical content is presented. We have also standardized technical terminology, ensured consistent abbreviation usage, verified proper integration of citations, and improved transitions between sections and paragraphs.</w:t>
      </w:r>
    </w:p>
    <w:p w14:paraId="1ED0A381" w14:textId="43DE340D" w:rsidR="00DB081A" w:rsidRDefault="00086630" w:rsidP="00532C33">
      <w:pPr>
        <w:spacing w:before="0" w:beforeAutospacing="0" w:after="0" w:afterAutospacing="0" w:line="300" w:lineRule="auto"/>
      </w:pPr>
      <w:r>
        <w:t>Additionally, the revised manuscript has been carefully reviewed and edited by our colleagues specializing in English language at our institution to ensure linguistic accuracy and clarity. The manuscript has been thoroughly proofread by all authors to ensure grammatical accuracy and professional presentation suitable for publication.</w:t>
      </w:r>
    </w:p>
    <w:p w14:paraId="451D5392" w14:textId="4166CA9B" w:rsidR="00DB081A" w:rsidRPr="00DB081A" w:rsidRDefault="00DB081A" w:rsidP="00DB081A">
      <w:pPr>
        <w:ind w:firstLine="482"/>
        <w:rPr>
          <w:b/>
          <w:bCs/>
        </w:rPr>
      </w:pPr>
      <w:r w:rsidRPr="00DB081A">
        <w:rPr>
          <w:rFonts w:hint="eastAsia"/>
          <w:b/>
          <w:bCs/>
        </w:rPr>
        <w:t>14.</w:t>
      </w:r>
      <w:r w:rsidRPr="00DB081A">
        <w:rPr>
          <w:b/>
          <w:bCs/>
        </w:rPr>
        <w:t xml:space="preserve"> Please note that if you have used AI tools (e.</w:t>
      </w:r>
      <w:proofErr w:type="gramStart"/>
      <w:r w:rsidRPr="00DB081A">
        <w:rPr>
          <w:b/>
          <w:bCs/>
        </w:rPr>
        <w:t>g.,</w:t>
      </w:r>
      <w:proofErr w:type="gramEnd"/>
      <w:r w:rsidRPr="00DB081A">
        <w:rPr>
          <w:b/>
          <w:bCs/>
        </w:rPr>
        <w:t xml:space="preserve"> Grammarly, ChatGPT) to improve readability, then you must need to disclose them in your manuscript. Refer to Elsevier’s AI policy or the journal’s Guide for Authors for details. This statement should be placed before the references in a separate section.</w:t>
      </w:r>
    </w:p>
    <w:p w14:paraId="111BDB5D" w14:textId="77777777" w:rsidR="00DB081A" w:rsidRPr="002A2483" w:rsidRDefault="00DB081A" w:rsidP="00DB081A">
      <w:pPr>
        <w:spacing w:before="0" w:beforeAutospacing="0" w:after="0" w:afterAutospacing="0" w:line="300" w:lineRule="auto"/>
        <w:ind w:firstLine="482"/>
        <w:rPr>
          <w:b/>
          <w:bCs/>
        </w:rPr>
      </w:pPr>
      <w:r w:rsidRPr="002A2483">
        <w:rPr>
          <w:b/>
          <w:bCs/>
        </w:rPr>
        <w:t>For Example: “During the preparation of this work, the author(s) used [NAME TOOL/SERVICE] to [REASON]. The author(s) reviewed and edited the content and take full responsibility for the publication.”</w:t>
      </w:r>
    </w:p>
    <w:p w14:paraId="70643C50" w14:textId="1C4A3E48" w:rsidR="00880E15" w:rsidRDefault="00880E15" w:rsidP="00880E15">
      <w:pPr>
        <w:spacing w:before="0" w:beforeAutospacing="0" w:after="0" w:afterAutospacing="0" w:line="300" w:lineRule="auto"/>
      </w:pPr>
      <w:r w:rsidRPr="00880E15">
        <w:t>The declaration reads as follows:</w:t>
      </w:r>
    </w:p>
    <w:p w14:paraId="74BB31A9" w14:textId="57B48390" w:rsidR="00DB081A" w:rsidRDefault="00880E15" w:rsidP="00DB081A">
      <w:pPr>
        <w:spacing w:before="0" w:beforeAutospacing="0" w:after="0" w:afterAutospacing="0" w:line="300" w:lineRule="auto"/>
      </w:pPr>
      <w:r w:rsidRPr="00880E15">
        <w:t xml:space="preserve">"During the preparation of this work, the author(s) used </w:t>
      </w:r>
      <w:r w:rsidR="003B461B">
        <w:rPr>
          <w:rFonts w:hint="eastAsia"/>
        </w:rPr>
        <w:t>Claude</w:t>
      </w:r>
      <w:r w:rsidRPr="00880E15">
        <w:t xml:space="preserve"> to improve language quality and readability. After using this tool/service, the author(s) reviewed and edited the content as needed and </w:t>
      </w:r>
      <w:proofErr w:type="gramStart"/>
      <w:r w:rsidRPr="00880E15">
        <w:t>take</w:t>
      </w:r>
      <w:proofErr w:type="gramEnd"/>
      <w:r w:rsidRPr="00880E15">
        <w:t xml:space="preserve"> full responsibility for the content of the publication."</w:t>
      </w:r>
    </w:p>
    <w:p w14:paraId="00973C9F" w14:textId="324E2FF2" w:rsidR="00813642" w:rsidRPr="00DB081A" w:rsidRDefault="00DB081A" w:rsidP="00DB081A">
      <w:pPr>
        <w:ind w:firstLine="482"/>
        <w:rPr>
          <w:b/>
          <w:bCs/>
        </w:rPr>
      </w:pPr>
      <w:r w:rsidRPr="00DB081A">
        <w:rPr>
          <w:rFonts w:hint="eastAsia"/>
          <w:b/>
          <w:bCs/>
        </w:rPr>
        <w:t>15.</w:t>
      </w:r>
      <w:r w:rsidRPr="00DB081A">
        <w:rPr>
          <w:b/>
          <w:bCs/>
        </w:rPr>
        <w:t xml:space="preserve"> Please check the reference style and include a DOI for all reference to align with the journal (RINENG) style.</w:t>
      </w:r>
    </w:p>
    <w:p w14:paraId="1B211BF3" w14:textId="45E9F3A2" w:rsidR="00045046" w:rsidRDefault="00045046" w:rsidP="00476585">
      <w:pPr>
        <w:spacing w:before="0" w:beforeAutospacing="0" w:after="0" w:afterAutospacing="0" w:line="300" w:lineRule="auto"/>
      </w:pPr>
      <w:r w:rsidRPr="00045046">
        <w:t>We have carefully revised all references in the manuscript to align with the Results in Engineering journal style using Zotero with the official Results in Engineering citation template.</w:t>
      </w:r>
    </w:p>
    <w:p w14:paraId="26735134" w14:textId="1D5658CA" w:rsidR="00476585" w:rsidRDefault="00476585" w:rsidP="00476585">
      <w:pPr>
        <w:spacing w:before="0" w:beforeAutospacing="0" w:after="0" w:afterAutospacing="0" w:line="300" w:lineRule="auto"/>
      </w:pPr>
      <w:r>
        <w:t>All references now follow the journal's required format, and we have added DOI information for all available references. For the few references where DOIs are not available, we have verified that the citation information is complete and accurate according to the journal's guidelines.</w:t>
      </w:r>
    </w:p>
    <w:p w14:paraId="2E5C45AD" w14:textId="1498EC97" w:rsidR="006F188F" w:rsidRDefault="006F188F" w:rsidP="00476585">
      <w:pPr>
        <w:spacing w:before="0" w:beforeAutospacing="0" w:after="0" w:afterAutospacing="0" w:line="300" w:lineRule="auto"/>
        <w:jc w:val="both"/>
      </w:pPr>
    </w:p>
    <w:sectPr w:rsidR="006F188F" w:rsidSect="001D64F1">
      <w:headerReference w:type="even" r:id="rId7"/>
      <w:headerReference w:type="default" r:id="rId8"/>
      <w:footerReference w:type="even" r:id="rId9"/>
      <w:footerReference w:type="default" r:id="rId10"/>
      <w:headerReference w:type="first" r:id="rId11"/>
      <w:footerReference w:type="first" r:id="rId12"/>
      <w:pgSz w:w="11906" w:h="16838"/>
      <w:pgMar w:top="1440" w:right="1080" w:bottom="1440" w:left="108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34524" w14:textId="77777777" w:rsidR="00F33E2E" w:rsidRDefault="00F33E2E" w:rsidP="00134508">
      <w:r>
        <w:separator/>
      </w:r>
    </w:p>
  </w:endnote>
  <w:endnote w:type="continuationSeparator" w:id="0">
    <w:p w14:paraId="33457098" w14:textId="77777777" w:rsidR="00F33E2E" w:rsidRDefault="00F33E2E" w:rsidP="00134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D33F6" w14:textId="77777777" w:rsidR="004E4A9F" w:rsidRDefault="004E4A9F">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B6B11" w14:textId="77777777" w:rsidR="004E4A9F" w:rsidRDefault="004E4A9F">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0A1EA" w14:textId="77777777" w:rsidR="004E4A9F" w:rsidRDefault="004E4A9F">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F6813" w14:textId="77777777" w:rsidR="00F33E2E" w:rsidRDefault="00F33E2E" w:rsidP="00134508">
      <w:r>
        <w:separator/>
      </w:r>
    </w:p>
  </w:footnote>
  <w:footnote w:type="continuationSeparator" w:id="0">
    <w:p w14:paraId="246D2475" w14:textId="77777777" w:rsidR="00F33E2E" w:rsidRDefault="00F33E2E" w:rsidP="001345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F11CC" w14:textId="77777777" w:rsidR="004E4A9F" w:rsidRDefault="004E4A9F">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060E" w14:textId="77777777" w:rsidR="004E4A9F" w:rsidRDefault="004E4A9F">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F3092" w14:textId="77777777" w:rsidR="004E4A9F" w:rsidRDefault="004E4A9F">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3538C"/>
    <w:multiLevelType w:val="hybridMultilevel"/>
    <w:tmpl w:val="B7A820BC"/>
    <w:lvl w:ilvl="0" w:tplc="FBA0C79C">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51662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D6753"/>
    <w:rsid w:val="00010575"/>
    <w:rsid w:val="0002054E"/>
    <w:rsid w:val="00045046"/>
    <w:rsid w:val="000568E7"/>
    <w:rsid w:val="00076C8F"/>
    <w:rsid w:val="00086630"/>
    <w:rsid w:val="000959DA"/>
    <w:rsid w:val="000B13B9"/>
    <w:rsid w:val="000B1DAB"/>
    <w:rsid w:val="000C52D0"/>
    <w:rsid w:val="000E6F1F"/>
    <w:rsid w:val="0010560A"/>
    <w:rsid w:val="00134508"/>
    <w:rsid w:val="001460AF"/>
    <w:rsid w:val="00170196"/>
    <w:rsid w:val="00184772"/>
    <w:rsid w:val="001A42E0"/>
    <w:rsid w:val="001A687A"/>
    <w:rsid w:val="001C0C33"/>
    <w:rsid w:val="001D345D"/>
    <w:rsid w:val="001D64F1"/>
    <w:rsid w:val="00222BF1"/>
    <w:rsid w:val="00231B55"/>
    <w:rsid w:val="002370B6"/>
    <w:rsid w:val="002525B5"/>
    <w:rsid w:val="00254D0E"/>
    <w:rsid w:val="002856F3"/>
    <w:rsid w:val="002A015C"/>
    <w:rsid w:val="002A1429"/>
    <w:rsid w:val="002A2483"/>
    <w:rsid w:val="002B3980"/>
    <w:rsid w:val="002C4FD2"/>
    <w:rsid w:val="002F7C55"/>
    <w:rsid w:val="00315FE2"/>
    <w:rsid w:val="00325C05"/>
    <w:rsid w:val="00336294"/>
    <w:rsid w:val="00353C01"/>
    <w:rsid w:val="00373AC7"/>
    <w:rsid w:val="003B461B"/>
    <w:rsid w:val="003B520F"/>
    <w:rsid w:val="003B7352"/>
    <w:rsid w:val="003F2E39"/>
    <w:rsid w:val="003F3B43"/>
    <w:rsid w:val="00405670"/>
    <w:rsid w:val="00465CC8"/>
    <w:rsid w:val="00476585"/>
    <w:rsid w:val="0048608B"/>
    <w:rsid w:val="004D48B4"/>
    <w:rsid w:val="004E4A9F"/>
    <w:rsid w:val="00532C33"/>
    <w:rsid w:val="005519E4"/>
    <w:rsid w:val="00577AF4"/>
    <w:rsid w:val="005805F8"/>
    <w:rsid w:val="005A4E89"/>
    <w:rsid w:val="005F2488"/>
    <w:rsid w:val="005F4B30"/>
    <w:rsid w:val="006107D7"/>
    <w:rsid w:val="00613E25"/>
    <w:rsid w:val="006212DB"/>
    <w:rsid w:val="00625D56"/>
    <w:rsid w:val="00636446"/>
    <w:rsid w:val="00655A82"/>
    <w:rsid w:val="00656D10"/>
    <w:rsid w:val="00680FB7"/>
    <w:rsid w:val="00686D06"/>
    <w:rsid w:val="006C12E3"/>
    <w:rsid w:val="006F04CF"/>
    <w:rsid w:val="006F188F"/>
    <w:rsid w:val="007178C0"/>
    <w:rsid w:val="00731BCD"/>
    <w:rsid w:val="00751544"/>
    <w:rsid w:val="00761FA5"/>
    <w:rsid w:val="0078092A"/>
    <w:rsid w:val="00796D2C"/>
    <w:rsid w:val="007B2892"/>
    <w:rsid w:val="007D1812"/>
    <w:rsid w:val="007E7796"/>
    <w:rsid w:val="007F0D1E"/>
    <w:rsid w:val="00813642"/>
    <w:rsid w:val="008306EB"/>
    <w:rsid w:val="0084588C"/>
    <w:rsid w:val="008602C7"/>
    <w:rsid w:val="00880E15"/>
    <w:rsid w:val="008864B7"/>
    <w:rsid w:val="008C3F2A"/>
    <w:rsid w:val="008D68B1"/>
    <w:rsid w:val="008D7770"/>
    <w:rsid w:val="008F6289"/>
    <w:rsid w:val="00932BCE"/>
    <w:rsid w:val="00964CB4"/>
    <w:rsid w:val="00993616"/>
    <w:rsid w:val="009A3BE8"/>
    <w:rsid w:val="009C197F"/>
    <w:rsid w:val="00A235FE"/>
    <w:rsid w:val="00A514D0"/>
    <w:rsid w:val="00A83FAD"/>
    <w:rsid w:val="00A87B63"/>
    <w:rsid w:val="00A93505"/>
    <w:rsid w:val="00AB33DA"/>
    <w:rsid w:val="00B061D7"/>
    <w:rsid w:val="00B06328"/>
    <w:rsid w:val="00B31116"/>
    <w:rsid w:val="00B4727A"/>
    <w:rsid w:val="00B659F8"/>
    <w:rsid w:val="00B71B78"/>
    <w:rsid w:val="00BD1DA5"/>
    <w:rsid w:val="00C05FC8"/>
    <w:rsid w:val="00C3137F"/>
    <w:rsid w:val="00C550E1"/>
    <w:rsid w:val="00C6752F"/>
    <w:rsid w:val="00C71C8F"/>
    <w:rsid w:val="00CC56A7"/>
    <w:rsid w:val="00D51846"/>
    <w:rsid w:val="00D81056"/>
    <w:rsid w:val="00D94DFB"/>
    <w:rsid w:val="00DB081A"/>
    <w:rsid w:val="00DB1D80"/>
    <w:rsid w:val="00DD6753"/>
    <w:rsid w:val="00DF2710"/>
    <w:rsid w:val="00E4526E"/>
    <w:rsid w:val="00E62C68"/>
    <w:rsid w:val="00E661C9"/>
    <w:rsid w:val="00EC7339"/>
    <w:rsid w:val="00EE1603"/>
    <w:rsid w:val="00EF4887"/>
    <w:rsid w:val="00EF5023"/>
    <w:rsid w:val="00F24FB4"/>
    <w:rsid w:val="00F33E2E"/>
    <w:rsid w:val="00F70FC9"/>
    <w:rsid w:val="00F835A3"/>
    <w:rsid w:val="00FD0D68"/>
    <w:rsid w:val="00FE597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B30685"/>
  <w14:defaultImageDpi w14:val="32767"/>
  <w15:chartTrackingRefBased/>
  <w15:docId w15:val="{2F3A76CB-9264-4F4F-AAF9-11C2987CB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4508"/>
    <w:pPr>
      <w:spacing w:before="100" w:beforeAutospacing="1" w:after="100" w:afterAutospacing="1"/>
      <w:ind w:firstLineChars="200" w:firstLine="480"/>
      <w:jc w:val="mediumKashida"/>
    </w:pPr>
    <w:rPr>
      <w:rFonts w:asciiTheme="majorBidi" w:eastAsia="宋体" w:hAnsiTheme="majorBidi" w:cstheme="majorBidi"/>
      <w:kern w:val="0"/>
      <w:sz w:val="24"/>
      <w:szCs w:val="24"/>
    </w:rPr>
  </w:style>
  <w:style w:type="paragraph" w:styleId="1">
    <w:name w:val="heading 1"/>
    <w:basedOn w:val="a"/>
    <w:next w:val="a"/>
    <w:link w:val="10"/>
    <w:uiPriority w:val="9"/>
    <w:qFormat/>
    <w:rsid w:val="00DD6753"/>
    <w:pPr>
      <w:keepNext/>
      <w:keepLines/>
      <w:spacing w:before="480" w:after="80"/>
      <w:outlineLvl w:val="0"/>
    </w:pPr>
    <w:rPr>
      <w:rFonts w:asciiTheme="majorHAnsi" w:eastAsiaTheme="majorEastAsia" w:hAnsiTheme="majorHAnsi"/>
      <w:color w:val="0F4761" w:themeColor="accent1" w:themeShade="BF"/>
      <w:sz w:val="48"/>
      <w:szCs w:val="48"/>
    </w:rPr>
  </w:style>
  <w:style w:type="paragraph" w:styleId="2">
    <w:name w:val="heading 2"/>
    <w:basedOn w:val="a"/>
    <w:next w:val="a"/>
    <w:link w:val="20"/>
    <w:uiPriority w:val="9"/>
    <w:semiHidden/>
    <w:unhideWhenUsed/>
    <w:qFormat/>
    <w:rsid w:val="00DD6753"/>
    <w:pPr>
      <w:keepNext/>
      <w:keepLines/>
      <w:spacing w:before="160" w:after="80"/>
      <w:outlineLvl w:val="1"/>
    </w:pPr>
    <w:rPr>
      <w:rFonts w:asciiTheme="majorHAnsi" w:eastAsiaTheme="majorEastAsia" w:hAnsiTheme="majorHAnsi"/>
      <w:color w:val="0F4761" w:themeColor="accent1" w:themeShade="BF"/>
      <w:sz w:val="40"/>
      <w:szCs w:val="40"/>
    </w:rPr>
  </w:style>
  <w:style w:type="paragraph" w:styleId="3">
    <w:name w:val="heading 3"/>
    <w:basedOn w:val="a"/>
    <w:next w:val="a"/>
    <w:link w:val="30"/>
    <w:uiPriority w:val="9"/>
    <w:semiHidden/>
    <w:unhideWhenUsed/>
    <w:qFormat/>
    <w:rsid w:val="00DD6753"/>
    <w:pPr>
      <w:keepNext/>
      <w:keepLines/>
      <w:spacing w:before="160" w:after="80"/>
      <w:outlineLvl w:val="2"/>
    </w:pPr>
    <w:rPr>
      <w:rFonts w:asciiTheme="majorHAnsi" w:eastAsiaTheme="majorEastAsia" w:hAnsiTheme="majorHAnsi"/>
      <w:color w:val="0F4761" w:themeColor="accent1" w:themeShade="BF"/>
      <w:sz w:val="32"/>
      <w:szCs w:val="32"/>
    </w:rPr>
  </w:style>
  <w:style w:type="paragraph" w:styleId="4">
    <w:name w:val="heading 4"/>
    <w:basedOn w:val="a"/>
    <w:next w:val="a"/>
    <w:link w:val="40"/>
    <w:uiPriority w:val="9"/>
    <w:semiHidden/>
    <w:unhideWhenUsed/>
    <w:qFormat/>
    <w:rsid w:val="00DD6753"/>
    <w:pPr>
      <w:keepNext/>
      <w:keepLines/>
      <w:spacing w:before="80" w:after="40"/>
      <w:outlineLvl w:val="3"/>
    </w:pPr>
    <w:rPr>
      <w:color w:val="0F4761" w:themeColor="accent1" w:themeShade="BF"/>
      <w:sz w:val="28"/>
      <w:szCs w:val="28"/>
    </w:rPr>
  </w:style>
  <w:style w:type="paragraph" w:styleId="5">
    <w:name w:val="heading 5"/>
    <w:basedOn w:val="a"/>
    <w:next w:val="a"/>
    <w:link w:val="50"/>
    <w:uiPriority w:val="9"/>
    <w:semiHidden/>
    <w:unhideWhenUsed/>
    <w:qFormat/>
    <w:rsid w:val="00DD6753"/>
    <w:pPr>
      <w:keepNext/>
      <w:keepLines/>
      <w:spacing w:before="80" w:after="40"/>
      <w:outlineLvl w:val="4"/>
    </w:pPr>
    <w:rPr>
      <w:color w:val="0F4761" w:themeColor="accent1" w:themeShade="BF"/>
    </w:rPr>
  </w:style>
  <w:style w:type="paragraph" w:styleId="6">
    <w:name w:val="heading 6"/>
    <w:basedOn w:val="a"/>
    <w:next w:val="a"/>
    <w:link w:val="60"/>
    <w:uiPriority w:val="9"/>
    <w:semiHidden/>
    <w:unhideWhenUsed/>
    <w:qFormat/>
    <w:rsid w:val="00DD6753"/>
    <w:pPr>
      <w:keepNext/>
      <w:keepLines/>
      <w:spacing w:before="40"/>
      <w:outlineLvl w:val="5"/>
    </w:pPr>
    <w:rPr>
      <w:b/>
      <w:bCs/>
      <w:color w:val="0F4761" w:themeColor="accent1" w:themeShade="BF"/>
    </w:rPr>
  </w:style>
  <w:style w:type="paragraph" w:styleId="7">
    <w:name w:val="heading 7"/>
    <w:basedOn w:val="a"/>
    <w:next w:val="a"/>
    <w:link w:val="70"/>
    <w:uiPriority w:val="9"/>
    <w:semiHidden/>
    <w:unhideWhenUsed/>
    <w:qFormat/>
    <w:rsid w:val="00DD6753"/>
    <w:pPr>
      <w:keepNext/>
      <w:keepLines/>
      <w:spacing w:before="40"/>
      <w:outlineLvl w:val="6"/>
    </w:pPr>
    <w:rPr>
      <w:b/>
      <w:bCs/>
      <w:color w:val="595959" w:themeColor="text1" w:themeTint="A6"/>
    </w:rPr>
  </w:style>
  <w:style w:type="paragraph" w:styleId="8">
    <w:name w:val="heading 8"/>
    <w:basedOn w:val="a"/>
    <w:next w:val="a"/>
    <w:link w:val="80"/>
    <w:uiPriority w:val="9"/>
    <w:semiHidden/>
    <w:unhideWhenUsed/>
    <w:qFormat/>
    <w:rsid w:val="00DD6753"/>
    <w:pPr>
      <w:keepNext/>
      <w:keepLines/>
      <w:outlineLvl w:val="7"/>
    </w:pPr>
    <w:rPr>
      <w:color w:val="595959" w:themeColor="text1" w:themeTint="A6"/>
    </w:rPr>
  </w:style>
  <w:style w:type="paragraph" w:styleId="9">
    <w:name w:val="heading 9"/>
    <w:basedOn w:val="a"/>
    <w:next w:val="a"/>
    <w:link w:val="90"/>
    <w:uiPriority w:val="9"/>
    <w:semiHidden/>
    <w:unhideWhenUsed/>
    <w:qFormat/>
    <w:rsid w:val="00DD6753"/>
    <w:pPr>
      <w:keepNext/>
      <w:keepLines/>
      <w:outlineLvl w:val="8"/>
    </w:pPr>
    <w:rPr>
      <w:rFonts w:eastAsiaTheme="majorEastAsia"/>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675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D675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D675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D6753"/>
    <w:rPr>
      <w:rFonts w:cstheme="majorBidi"/>
      <w:color w:val="0F4761" w:themeColor="accent1" w:themeShade="BF"/>
      <w:sz w:val="28"/>
      <w:szCs w:val="28"/>
    </w:rPr>
  </w:style>
  <w:style w:type="character" w:customStyle="1" w:styleId="50">
    <w:name w:val="标题 5 字符"/>
    <w:basedOn w:val="a0"/>
    <w:link w:val="5"/>
    <w:uiPriority w:val="9"/>
    <w:semiHidden/>
    <w:rsid w:val="00DD6753"/>
    <w:rPr>
      <w:rFonts w:cstheme="majorBidi"/>
      <w:color w:val="0F4761" w:themeColor="accent1" w:themeShade="BF"/>
      <w:sz w:val="24"/>
      <w:szCs w:val="24"/>
    </w:rPr>
  </w:style>
  <w:style w:type="character" w:customStyle="1" w:styleId="60">
    <w:name w:val="标题 6 字符"/>
    <w:basedOn w:val="a0"/>
    <w:link w:val="6"/>
    <w:uiPriority w:val="9"/>
    <w:semiHidden/>
    <w:rsid w:val="00DD6753"/>
    <w:rPr>
      <w:rFonts w:cstheme="majorBidi"/>
      <w:b/>
      <w:bCs/>
      <w:color w:val="0F4761" w:themeColor="accent1" w:themeShade="BF"/>
    </w:rPr>
  </w:style>
  <w:style w:type="character" w:customStyle="1" w:styleId="70">
    <w:name w:val="标题 7 字符"/>
    <w:basedOn w:val="a0"/>
    <w:link w:val="7"/>
    <w:uiPriority w:val="9"/>
    <w:semiHidden/>
    <w:rsid w:val="00DD6753"/>
    <w:rPr>
      <w:rFonts w:cstheme="majorBidi"/>
      <w:b/>
      <w:bCs/>
      <w:color w:val="595959" w:themeColor="text1" w:themeTint="A6"/>
    </w:rPr>
  </w:style>
  <w:style w:type="character" w:customStyle="1" w:styleId="80">
    <w:name w:val="标题 8 字符"/>
    <w:basedOn w:val="a0"/>
    <w:link w:val="8"/>
    <w:uiPriority w:val="9"/>
    <w:semiHidden/>
    <w:rsid w:val="00DD6753"/>
    <w:rPr>
      <w:rFonts w:cstheme="majorBidi"/>
      <w:color w:val="595959" w:themeColor="text1" w:themeTint="A6"/>
    </w:rPr>
  </w:style>
  <w:style w:type="character" w:customStyle="1" w:styleId="90">
    <w:name w:val="标题 9 字符"/>
    <w:basedOn w:val="a0"/>
    <w:link w:val="9"/>
    <w:uiPriority w:val="9"/>
    <w:semiHidden/>
    <w:rsid w:val="00DD6753"/>
    <w:rPr>
      <w:rFonts w:eastAsiaTheme="majorEastAsia" w:cstheme="majorBidi"/>
      <w:color w:val="595959" w:themeColor="text1" w:themeTint="A6"/>
    </w:rPr>
  </w:style>
  <w:style w:type="paragraph" w:styleId="a3">
    <w:name w:val="Title"/>
    <w:basedOn w:val="a"/>
    <w:next w:val="a"/>
    <w:link w:val="a4"/>
    <w:uiPriority w:val="10"/>
    <w:qFormat/>
    <w:rsid w:val="001C0C33"/>
    <w:pPr>
      <w:spacing w:after="80"/>
      <w:contextualSpacing/>
      <w:jc w:val="center"/>
    </w:pPr>
    <w:rPr>
      <w:rFonts w:eastAsiaTheme="majorEastAsia"/>
      <w:b/>
      <w:bCs/>
      <w:spacing w:val="-10"/>
      <w:kern w:val="28"/>
      <w:sz w:val="32"/>
      <w:szCs w:val="32"/>
    </w:rPr>
  </w:style>
  <w:style w:type="character" w:customStyle="1" w:styleId="a4">
    <w:name w:val="标题 字符"/>
    <w:basedOn w:val="a0"/>
    <w:link w:val="a3"/>
    <w:uiPriority w:val="10"/>
    <w:rsid w:val="001C0C33"/>
    <w:rPr>
      <w:rFonts w:asciiTheme="majorBidi" w:eastAsiaTheme="majorEastAsia" w:hAnsiTheme="majorBidi" w:cstheme="majorBidi"/>
      <w:b/>
      <w:bCs/>
      <w:spacing w:val="-10"/>
      <w:kern w:val="28"/>
      <w:sz w:val="32"/>
      <w:szCs w:val="32"/>
    </w:rPr>
  </w:style>
  <w:style w:type="paragraph" w:styleId="a5">
    <w:name w:val="Subtitle"/>
    <w:basedOn w:val="a"/>
    <w:next w:val="a"/>
    <w:link w:val="a6"/>
    <w:uiPriority w:val="11"/>
    <w:qFormat/>
    <w:rsid w:val="00DD6753"/>
    <w:pPr>
      <w:numPr>
        <w:ilvl w:val="1"/>
      </w:numPr>
      <w:spacing w:after="160"/>
      <w:ind w:firstLineChars="200" w:firstLine="480"/>
      <w:jc w:val="center"/>
    </w:pPr>
    <w:rPr>
      <w:rFonts w:asciiTheme="majorHAnsi" w:eastAsiaTheme="majorEastAsia" w:hAnsiTheme="majorHAnsi"/>
      <w:color w:val="595959" w:themeColor="text1" w:themeTint="A6"/>
      <w:spacing w:val="15"/>
      <w:sz w:val="28"/>
      <w:szCs w:val="28"/>
    </w:rPr>
  </w:style>
  <w:style w:type="character" w:customStyle="1" w:styleId="a6">
    <w:name w:val="副标题 字符"/>
    <w:basedOn w:val="a0"/>
    <w:link w:val="a5"/>
    <w:uiPriority w:val="11"/>
    <w:rsid w:val="00DD67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6753"/>
    <w:pPr>
      <w:spacing w:before="160" w:after="160"/>
      <w:jc w:val="center"/>
    </w:pPr>
    <w:rPr>
      <w:i/>
      <w:iCs/>
      <w:color w:val="404040" w:themeColor="text1" w:themeTint="BF"/>
    </w:rPr>
  </w:style>
  <w:style w:type="character" w:customStyle="1" w:styleId="a8">
    <w:name w:val="引用 字符"/>
    <w:basedOn w:val="a0"/>
    <w:link w:val="a7"/>
    <w:uiPriority w:val="29"/>
    <w:rsid w:val="00DD6753"/>
    <w:rPr>
      <w:i/>
      <w:iCs/>
      <w:color w:val="404040" w:themeColor="text1" w:themeTint="BF"/>
    </w:rPr>
  </w:style>
  <w:style w:type="paragraph" w:styleId="a9">
    <w:name w:val="List Paragraph"/>
    <w:basedOn w:val="a"/>
    <w:uiPriority w:val="34"/>
    <w:qFormat/>
    <w:rsid w:val="00DD6753"/>
    <w:pPr>
      <w:ind w:left="720"/>
      <w:contextualSpacing/>
    </w:pPr>
  </w:style>
  <w:style w:type="character" w:styleId="aa">
    <w:name w:val="Intense Emphasis"/>
    <w:basedOn w:val="a0"/>
    <w:uiPriority w:val="21"/>
    <w:qFormat/>
    <w:rsid w:val="00DD6753"/>
    <w:rPr>
      <w:i/>
      <w:iCs/>
      <w:color w:val="0F4761" w:themeColor="accent1" w:themeShade="BF"/>
    </w:rPr>
  </w:style>
  <w:style w:type="paragraph" w:styleId="ab">
    <w:name w:val="Intense Quote"/>
    <w:basedOn w:val="a"/>
    <w:next w:val="a"/>
    <w:link w:val="ac"/>
    <w:uiPriority w:val="30"/>
    <w:qFormat/>
    <w:rsid w:val="00DD6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D6753"/>
    <w:rPr>
      <w:i/>
      <w:iCs/>
      <w:color w:val="0F4761" w:themeColor="accent1" w:themeShade="BF"/>
    </w:rPr>
  </w:style>
  <w:style w:type="character" w:styleId="ad">
    <w:name w:val="Intense Reference"/>
    <w:basedOn w:val="a0"/>
    <w:uiPriority w:val="32"/>
    <w:qFormat/>
    <w:rsid w:val="00DD6753"/>
    <w:rPr>
      <w:b/>
      <w:bCs/>
      <w:smallCaps/>
      <w:color w:val="0F4761" w:themeColor="accent1" w:themeShade="BF"/>
      <w:spacing w:val="5"/>
    </w:rPr>
  </w:style>
  <w:style w:type="paragraph" w:styleId="ae">
    <w:name w:val="header"/>
    <w:basedOn w:val="a"/>
    <w:link w:val="af"/>
    <w:uiPriority w:val="99"/>
    <w:unhideWhenUsed/>
    <w:rsid w:val="001C0C33"/>
    <w:pPr>
      <w:tabs>
        <w:tab w:val="center" w:pos="4153"/>
        <w:tab w:val="right" w:pos="8306"/>
      </w:tabs>
      <w:snapToGrid w:val="0"/>
      <w:jc w:val="center"/>
    </w:pPr>
    <w:rPr>
      <w:sz w:val="18"/>
      <w:szCs w:val="18"/>
    </w:rPr>
  </w:style>
  <w:style w:type="character" w:customStyle="1" w:styleId="af">
    <w:name w:val="页眉 字符"/>
    <w:basedOn w:val="a0"/>
    <w:link w:val="ae"/>
    <w:uiPriority w:val="99"/>
    <w:rsid w:val="001C0C33"/>
    <w:rPr>
      <w:sz w:val="18"/>
      <w:szCs w:val="18"/>
    </w:rPr>
  </w:style>
  <w:style w:type="paragraph" w:styleId="af0">
    <w:name w:val="footer"/>
    <w:basedOn w:val="a"/>
    <w:link w:val="af1"/>
    <w:uiPriority w:val="99"/>
    <w:unhideWhenUsed/>
    <w:rsid w:val="001C0C33"/>
    <w:pPr>
      <w:tabs>
        <w:tab w:val="center" w:pos="4153"/>
        <w:tab w:val="right" w:pos="8306"/>
      </w:tabs>
      <w:snapToGrid w:val="0"/>
      <w:jc w:val="left"/>
    </w:pPr>
    <w:rPr>
      <w:sz w:val="18"/>
      <w:szCs w:val="18"/>
    </w:rPr>
  </w:style>
  <w:style w:type="character" w:customStyle="1" w:styleId="af1">
    <w:name w:val="页脚 字符"/>
    <w:basedOn w:val="a0"/>
    <w:link w:val="af0"/>
    <w:uiPriority w:val="99"/>
    <w:rsid w:val="001C0C33"/>
    <w:rPr>
      <w:sz w:val="18"/>
      <w:szCs w:val="18"/>
    </w:rPr>
  </w:style>
  <w:style w:type="paragraph" w:styleId="af2">
    <w:name w:val="Normal (Web)"/>
    <w:basedOn w:val="a"/>
    <w:uiPriority w:val="99"/>
    <w:semiHidden/>
    <w:unhideWhenUsed/>
    <w:rsid w:val="00993616"/>
    <w:pPr>
      <w:ind w:firstLine="0"/>
      <w:jc w:val="left"/>
    </w:pPr>
    <w:rPr>
      <w:rFonts w:ascii="宋体" w:hAnsi="宋体"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806427">
      <w:bodyDiv w:val="1"/>
      <w:marLeft w:val="0"/>
      <w:marRight w:val="0"/>
      <w:marTop w:val="0"/>
      <w:marBottom w:val="0"/>
      <w:divBdr>
        <w:top w:val="none" w:sz="0" w:space="0" w:color="auto"/>
        <w:left w:val="none" w:sz="0" w:space="0" w:color="auto"/>
        <w:bottom w:val="none" w:sz="0" w:space="0" w:color="auto"/>
        <w:right w:val="none" w:sz="0" w:space="0" w:color="auto"/>
      </w:divBdr>
    </w:div>
    <w:div w:id="1876697737">
      <w:bodyDiv w:val="1"/>
      <w:marLeft w:val="0"/>
      <w:marRight w:val="0"/>
      <w:marTop w:val="0"/>
      <w:marBottom w:val="0"/>
      <w:divBdr>
        <w:top w:val="none" w:sz="0" w:space="0" w:color="auto"/>
        <w:left w:val="none" w:sz="0" w:space="0" w:color="auto"/>
        <w:bottom w:val="none" w:sz="0" w:space="0" w:color="auto"/>
        <w:right w:val="none" w:sz="0" w:space="0" w:color="auto"/>
      </w:divBdr>
    </w:div>
    <w:div w:id="2090493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937</TotalTime>
  <Pages>10</Pages>
  <Words>3561</Words>
  <Characters>20301</Characters>
  <Application>Microsoft Office Word</Application>
  <DocSecurity>0</DocSecurity>
  <Lines>169</Lines>
  <Paragraphs>47</Paragraphs>
  <ScaleCrop>false</ScaleCrop>
  <Company/>
  <LinksUpToDate>false</LinksUpToDate>
  <CharactersWithSpaces>23815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硕亭 肖</dc:creator>
  <cp:keywords/>
  <dc:description/>
  <cp:lastModifiedBy>硕亭 肖</cp:lastModifiedBy>
  <cp:revision>119</cp:revision>
  <dcterms:created xsi:type="dcterms:W3CDTF">2024-06-18T11:14:00Z</dcterms:created>
  <dcterms:modified xsi:type="dcterms:W3CDTF">2026-03-29T23:00:00Z</dcterms:modified>
</cp:coreProperties>
</file>