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D621" w14:textId="77777777" w:rsidR="009001A6" w:rsidRPr="009001A6" w:rsidRDefault="009001A6" w:rsidP="009001A6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Обоснование предлагаемой архитектуры для Production-среды</w:t>
      </w:r>
    </w:p>
    <w:p w14:paraId="4D5E6562" w14:textId="77777777" w:rsidR="0054479A" w:rsidRPr="00207934" w:rsidRDefault="009001A6" w:rsidP="009001A6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Уважаемый Заказчик! </w:t>
      </w:r>
    </w:p>
    <w:p w14:paraId="4C679584" w14:textId="50B894A9" w:rsidR="009001A6" w:rsidRPr="009001A6" w:rsidRDefault="009001A6" w:rsidP="009001A6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Мы внимательно изучили предоставленное Техническое задание. Исходная спецификация (на базе десктопных процессоров и игровых видеокарт RTX 4090) является отличным решением для этапов разработки (R&amp;D), тестирования гипотез и локальной отладки. Однако для заявленной цели </w:t>
      </w:r>
      <w:r w:rsidR="0054479A" w:rsidRPr="00207934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эксплуатации в режиме 24/7 в качестве ядра корпоративной инфраструктуры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r w:rsidR="0054479A" w:rsidRPr="00207934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данная аппаратная база несет критические риски отказоустойчивости.</w:t>
      </w:r>
    </w:p>
    <w:p w14:paraId="3CDFC783" w14:textId="77777777" w:rsidR="009001A6" w:rsidRPr="009001A6" w:rsidRDefault="009001A6" w:rsidP="009001A6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Почему мы настоятельно не рекомендуем использовать RTX 4090 для Production-</w:t>
      </w:r>
      <w:proofErr w:type="spellStart"/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инференса</w:t>
      </w:r>
      <w:proofErr w:type="spellEnd"/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:</w:t>
      </w:r>
    </w:p>
    <w:p w14:paraId="6FF5CF45" w14:textId="70D9779C" w:rsidR="009001A6" w:rsidRPr="009001A6" w:rsidRDefault="009001A6" w:rsidP="009001A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 xml:space="preserve">Специфика шины передачи данных </w:t>
      </w:r>
      <w:proofErr w:type="spellStart"/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PCIe</w:t>
      </w:r>
      <w:proofErr w:type="spellEnd"/>
      <w:r w:rsidR="0054479A"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:</w:t>
      </w:r>
      <w:r w:rsidR="0054479A"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в отличие от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вычислений типа </w:t>
      </w:r>
      <w:proofErr w:type="spellStart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>криптомайнинга</w:t>
      </w:r>
      <w:proofErr w:type="spellEnd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, где интенсивность обмена данными по шине минимальна, работа локальных AI-агентов (LLM, </w:t>
      </w:r>
      <w:proofErr w:type="spellStart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>Whisper</w:t>
      </w:r>
      <w:proofErr w:type="spellEnd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, RAG) требует непрерывной и гигантской прокачки данных (контекста, весов, </w:t>
      </w:r>
      <w:proofErr w:type="spellStart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>эмбеддингов</w:t>
      </w:r>
      <w:proofErr w:type="spellEnd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) между процессором, ОЗУ и видеокартой. </w:t>
      </w:r>
    </w:p>
    <w:p w14:paraId="441D6C5F" w14:textId="2E5ACDD7" w:rsidR="009001A6" w:rsidRPr="009001A6" w:rsidRDefault="009001A6" w:rsidP="009001A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Аппаратная нестабильность шины под 100% нагрузкой: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r w:rsidR="007226C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наш </w:t>
      </w:r>
      <w:r w:rsidR="0054479A">
        <w:rPr>
          <w:rFonts w:eastAsia="Times New Roman" w:cs="Times New Roman"/>
          <w:kern w:val="0"/>
          <w:szCs w:val="24"/>
          <w:lang w:eastAsia="ru-RU"/>
          <w14:ligatures w14:val="none"/>
        </w:rPr>
        <w:t>п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рактический опыт эксплуатации </w:t>
      </w:r>
      <w:r w:rsidR="007226C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серверов с задачами </w:t>
      </w:r>
      <w:r w:rsidR="007226CE">
        <w:rPr>
          <w:rFonts w:eastAsia="Times New Roman" w:cs="Times New Roman"/>
          <w:kern w:val="0"/>
          <w:szCs w:val="24"/>
          <w:lang w:val="en-US" w:eastAsia="ru-RU"/>
          <w14:ligatures w14:val="none"/>
        </w:rPr>
        <w:t>AI</w:t>
      </w:r>
      <w:r w:rsidR="007226CE" w:rsidRPr="00207934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(</w:t>
      </w:r>
      <w:r w:rsidR="007226C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например </w:t>
      </w:r>
      <w:proofErr w:type="spellStart"/>
      <w:r w:rsidR="007226CE"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>Whisper</w:t>
      </w:r>
      <w:proofErr w:type="spellEnd"/>
      <w:r w:rsidR="007226CE">
        <w:rPr>
          <w:rFonts w:eastAsia="Times New Roman" w:cs="Times New Roman"/>
          <w:kern w:val="0"/>
          <w:szCs w:val="24"/>
          <w:lang w:eastAsia="ru-RU"/>
          <w14:ligatures w14:val="none"/>
        </w:rPr>
        <w:t>,</w:t>
      </w:r>
      <w:r w:rsidR="007226CE" w:rsidRPr="00207934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proofErr w:type="spellStart"/>
      <w:r w:rsidR="007226CE">
        <w:rPr>
          <w:rFonts w:eastAsia="Times New Roman" w:cs="Times New Roman"/>
          <w:kern w:val="0"/>
          <w:szCs w:val="24"/>
          <w:lang w:val="en-US" w:eastAsia="ru-RU"/>
          <w14:ligatures w14:val="none"/>
        </w:rPr>
        <w:t>ollama</w:t>
      </w:r>
      <w:proofErr w:type="spellEnd"/>
      <w:r w:rsidR="007226CE" w:rsidRPr="00207934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) 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показывает, что игровые видеокарты не способны неделями выдерживать пиковый I/O-обмен по шине </w:t>
      </w:r>
      <w:proofErr w:type="spellStart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>PCIe</w:t>
      </w:r>
      <w:proofErr w:type="spellEnd"/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>. В режиме 24/7 это гарантированно приводит к накоплению ошибок, аппаратному сбросу шины и «отвалу» видеокарт (падению сервисов и переключению нагрузки на CPU). Снижение скорости шины или использование топовых материнских плат не устраняет эту архитектурную проблему игровых решений.</w:t>
      </w:r>
    </w:p>
    <w:p w14:paraId="37D35E57" w14:textId="07C921C0" w:rsidR="009001A6" w:rsidRPr="009001A6" w:rsidRDefault="009001A6" w:rsidP="009001A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Отсутствие гарантий для серверов: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Лицензионное соглашение NVIDIA прямо запрещает использование драйверов GeForce в дата-центрах. Также игровые карты не имеют ECC-памяти на борту, что критично для устранения тихих ошибок при генерации текста или анализе данных.</w:t>
      </w:r>
    </w:p>
    <w:p w14:paraId="42D703AD" w14:textId="7E708A62" w:rsidR="009001A6" w:rsidRPr="009001A6" w:rsidRDefault="009001A6" w:rsidP="009001A6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Наше решение</w:t>
      </w:r>
      <w:r w:rsidR="00172A9A"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:</w:t>
      </w:r>
      <w:r w:rsidR="00172A9A"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для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обеспечения заявленной в ТЗ отказоустойчивости, бесперебойной работы 24/7 и корректного распараллеливания запросов от пользователей, сервер должен строиться исключительно на базе архитектуры </w:t>
      </w: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NVIDIA Enterprise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. </w:t>
      </w:r>
    </w:p>
    <w:p w14:paraId="4DB4D60B" w14:textId="189A9FAC" w:rsidR="009001A6" w:rsidRPr="00207934" w:rsidRDefault="009001A6" w:rsidP="009001A6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В связи с этим мы предлагаем скорректированную спецификацию на базе специализированных тензорных ускорителей </w:t>
      </w:r>
      <w:r w:rsidRPr="009001A6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NVIDIA A100</w:t>
      </w:r>
      <w:r w:rsidRPr="009001A6">
        <w:rPr>
          <w:rFonts w:eastAsia="Times New Roman" w:cs="Times New Roman"/>
          <w:kern w:val="0"/>
          <w:szCs w:val="24"/>
          <w:lang w:eastAsia="ru-RU"/>
          <w14:ligatures w14:val="none"/>
        </w:rPr>
        <w:t>. Данные решения созданы специально для безостановочного I/O-обмена, оснащены памятью HBM2e с коррекцией ошибок (ECC) и официально сертифицированы для круглосуточной работы с ИИ-моделями на высоких нагрузках.</w:t>
      </w:r>
    </w:p>
    <w:p w14:paraId="43A7C686" w14:textId="66E11F3B" w:rsidR="003E21AC" w:rsidRPr="003E21AC" w:rsidRDefault="003E21AC" w:rsidP="003E21AC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Предлагаемая спецификация</w:t>
      </w:r>
    </w:p>
    <w:p w14:paraId="1677DFAB" w14:textId="77777777" w:rsidR="003E21AC" w:rsidRDefault="003E21AC" w:rsidP="003E21AC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На базе описанных выше требований к стабильности, мы разработали конфигурацию на основе отказоустойчивой серверной платформы </w:t>
      </w:r>
      <w:proofErr w:type="spellStart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Supermicro</w:t>
      </w:r>
      <w:proofErr w:type="spellEnd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и тензорных вычислителей NVIDIA корпоративного класса.</w:t>
      </w:r>
    </w:p>
    <w:p w14:paraId="53E94720" w14:textId="375A83B9" w:rsidR="003E21AC" w:rsidRPr="003E21AC" w:rsidRDefault="003E21AC" w:rsidP="003E21AC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Cs w:val="24"/>
          <w:lang w:eastAsia="ru-RU"/>
          <w14:ligatures w14:val="none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267C15AB" wp14:editId="69820751">
            <wp:extent cx="4401325" cy="3303928"/>
            <wp:effectExtent l="0" t="0" r="0" b="0"/>
            <wp:docPr id="14485849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961" cy="3311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C668F" w14:textId="2F659FD2" w:rsidR="003E21AC" w:rsidRPr="003E21AC" w:rsidRDefault="003E21AC" w:rsidP="003E21AC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С</w:t>
      </w: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остав аппаратного комплекса:</w:t>
      </w:r>
    </w:p>
    <w:p w14:paraId="2F8741B5" w14:textId="77777777" w:rsidR="003E21AC" w:rsidRPr="003E21AC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Платформа: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proofErr w:type="spellStart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Supermicro</w:t>
      </w:r>
      <w:proofErr w:type="spellEnd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A+ Server 4124GS-TNR (Форм-фактор 4U, корзина на 24 диска 2.5" SFF).</w:t>
      </w:r>
    </w:p>
    <w:p w14:paraId="72F09AB6" w14:textId="387401EB" w:rsidR="003E21AC" w:rsidRPr="003E21AC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Процессор: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AMD EPYC 7302 (16 ядер / 32 потока) </w:t>
      </w:r>
      <w:r w:rsidR="00065D13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серверный CPU с увеличенным количеством линий </w:t>
      </w:r>
      <w:proofErr w:type="spellStart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PCIe</w:t>
      </w:r>
      <w:proofErr w:type="spellEnd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для исключения «узких мест» при обмене данными.</w:t>
      </w:r>
    </w:p>
    <w:p w14:paraId="136C2FC8" w14:textId="6445D3EA" w:rsidR="003E21AC" w:rsidRPr="003E21AC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Оперативная память: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128 ГБ (8 × 16GB) DDR4 ECC REG. Установлена блоком из 8 модулей для активации 8</w:t>
      </w:r>
      <w:r w:rsidR="00065D13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канального режима контроллера памяти (максимальная пропускная способность).</w:t>
      </w:r>
    </w:p>
    <w:p w14:paraId="3871C248" w14:textId="711BA136" w:rsidR="003E21AC" w:rsidRPr="00207934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US"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Видеокарты</w:t>
      </w:r>
      <w:r w:rsidRPr="00207934">
        <w:rPr>
          <w:rFonts w:eastAsia="Times New Roman" w:cs="Times New Roman"/>
          <w:b/>
          <w:bCs/>
          <w:kern w:val="0"/>
          <w:szCs w:val="24"/>
          <w:lang w:val="en-US" w:eastAsia="ru-RU"/>
          <w14:ligatures w14:val="none"/>
        </w:rPr>
        <w:t xml:space="preserve"> (GPU):</w:t>
      </w:r>
      <w:r w:rsidRPr="00207934">
        <w:rPr>
          <w:rFonts w:eastAsia="Times New Roman" w:cs="Times New Roman"/>
          <w:kern w:val="0"/>
          <w:szCs w:val="24"/>
          <w:lang w:val="en-US" w:eastAsia="ru-RU"/>
          <w14:ligatures w14:val="none"/>
        </w:rPr>
        <w:t xml:space="preserve"> 2 × </w:t>
      </w:r>
      <w:r w:rsidRPr="00207934">
        <w:rPr>
          <w:rFonts w:eastAsia="Times New Roman" w:cs="Times New Roman"/>
          <w:b/>
          <w:bCs/>
          <w:kern w:val="0"/>
          <w:szCs w:val="24"/>
          <w:lang w:val="en-US" w:eastAsia="ru-RU"/>
          <w14:ligatures w14:val="none"/>
        </w:rPr>
        <w:t>NVIDIA A100 80GB HBM2e</w:t>
      </w:r>
      <w:r w:rsidRPr="00207934">
        <w:rPr>
          <w:rFonts w:eastAsia="Times New Roman" w:cs="Times New Roman"/>
          <w:kern w:val="0"/>
          <w:szCs w:val="24"/>
          <w:lang w:val="en-US" w:eastAsia="ru-RU"/>
          <w14:ligatures w14:val="none"/>
        </w:rPr>
        <w:t>.</w:t>
      </w:r>
    </w:p>
    <w:p w14:paraId="7F370797" w14:textId="520128EB" w:rsidR="003E21AC" w:rsidRPr="00207934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US"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Системные</w:t>
      </w:r>
      <w:r w:rsidRPr="00207934">
        <w:rPr>
          <w:rFonts w:eastAsia="Times New Roman" w:cs="Times New Roman"/>
          <w:b/>
          <w:bCs/>
          <w:kern w:val="0"/>
          <w:szCs w:val="24"/>
          <w:lang w:val="en-US" w:eastAsia="ru-RU"/>
          <w14:ligatures w14:val="none"/>
        </w:rPr>
        <w:t xml:space="preserve"> </w:t>
      </w: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диски</w:t>
      </w:r>
      <w:r w:rsidRPr="00207934">
        <w:rPr>
          <w:rFonts w:eastAsia="Times New Roman" w:cs="Times New Roman"/>
          <w:b/>
          <w:bCs/>
          <w:kern w:val="0"/>
          <w:szCs w:val="24"/>
          <w:lang w:val="en-US" w:eastAsia="ru-RU"/>
          <w14:ligatures w14:val="none"/>
        </w:rPr>
        <w:t xml:space="preserve"> (</w:t>
      </w: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ОС</w:t>
      </w:r>
      <w:r w:rsidRPr="00207934">
        <w:rPr>
          <w:rFonts w:eastAsia="Times New Roman" w:cs="Times New Roman"/>
          <w:b/>
          <w:bCs/>
          <w:kern w:val="0"/>
          <w:szCs w:val="24"/>
          <w:lang w:val="en-US" w:eastAsia="ru-RU"/>
          <w14:ligatures w14:val="none"/>
        </w:rPr>
        <w:t xml:space="preserve">, Docker, </w:t>
      </w: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кэш</w:t>
      </w:r>
      <w:r w:rsidRPr="00207934">
        <w:rPr>
          <w:rFonts w:eastAsia="Times New Roman" w:cs="Times New Roman"/>
          <w:b/>
          <w:bCs/>
          <w:kern w:val="0"/>
          <w:szCs w:val="24"/>
          <w:lang w:val="en-US" w:eastAsia="ru-RU"/>
          <w14:ligatures w14:val="none"/>
        </w:rPr>
        <w:t>):</w:t>
      </w:r>
      <w:r w:rsidRPr="00207934">
        <w:rPr>
          <w:rFonts w:eastAsia="Times New Roman" w:cs="Times New Roman"/>
          <w:kern w:val="0"/>
          <w:szCs w:val="24"/>
          <w:lang w:val="en-US" w:eastAsia="ru-RU"/>
          <w14:ligatures w14:val="none"/>
        </w:rPr>
        <w:t xml:space="preserve"> 2 × 1.92TB Intel D3</w:t>
      </w:r>
      <w:r w:rsidR="00065D13" w:rsidRPr="00207934">
        <w:rPr>
          <w:rFonts w:eastAsia="Times New Roman" w:cs="Times New Roman"/>
          <w:kern w:val="0"/>
          <w:szCs w:val="24"/>
          <w:lang w:val="en-US" w:eastAsia="ru-RU"/>
          <w14:ligatures w14:val="none"/>
        </w:rPr>
        <w:t>-</w:t>
      </w:r>
      <w:r w:rsidRPr="00207934">
        <w:rPr>
          <w:rFonts w:eastAsia="Times New Roman" w:cs="Times New Roman"/>
          <w:kern w:val="0"/>
          <w:szCs w:val="24"/>
          <w:lang w:val="en-US" w:eastAsia="ru-RU"/>
          <w14:ligatures w14:val="none"/>
        </w:rPr>
        <w:t>S4510 2.5" Enterprise SSD (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предназначены</w:t>
      </w:r>
      <w:r w:rsidRPr="00207934">
        <w:rPr>
          <w:rFonts w:eastAsia="Times New Roman" w:cs="Times New Roman"/>
          <w:kern w:val="0"/>
          <w:szCs w:val="24"/>
          <w:lang w:val="en-US" w:eastAsia="ru-RU"/>
          <w14:ligatures w14:val="none"/>
        </w:rPr>
        <w:t xml:space="preserve"> 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для</w:t>
      </w:r>
      <w:r w:rsidRPr="00207934">
        <w:rPr>
          <w:rFonts w:eastAsia="Times New Roman" w:cs="Times New Roman"/>
          <w:kern w:val="0"/>
          <w:szCs w:val="24"/>
          <w:lang w:val="en-US" w:eastAsia="ru-RU"/>
          <w14:ligatures w14:val="none"/>
        </w:rPr>
        <w:t xml:space="preserve"> RAID 1).</w:t>
      </w:r>
    </w:p>
    <w:p w14:paraId="7D2B17F9" w14:textId="356188B1" w:rsidR="003E21AC" w:rsidRPr="003E21AC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Диски хранения данных (БД, документы, RAG):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9 × 900GB Seagate Enterprise 2.5" SAS (заменяют консьюмерские 3.5" диски, обеспечивая необходимый полезный объем в RAID 6/RAID</w:t>
      </w:r>
      <w:r w:rsidR="00065D13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Z2 с кратно большей надежностью).</w:t>
      </w:r>
    </w:p>
    <w:p w14:paraId="7943AFDA" w14:textId="548F830A" w:rsidR="003E21AC" w:rsidRPr="003E21AC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Контроллер хранилища: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proofErr w:type="spellStart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Broadcom</w:t>
      </w:r>
      <w:proofErr w:type="spellEnd"/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9311</w:t>
      </w:r>
      <w:r w:rsidR="00065D13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8i HBA </w:t>
      </w:r>
      <w:r w:rsidR="00065D13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идеальное решение для прямого доступа к дискам под управлением ZFS.</w:t>
      </w:r>
    </w:p>
    <w:p w14:paraId="34BE3CE6" w14:textId="3388F93F" w:rsidR="003E21AC" w:rsidRPr="003E21AC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Сетевой интерфейс: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Intel X550</w:t>
      </w:r>
      <w:r w:rsidR="00065D13">
        <w:rPr>
          <w:rFonts w:eastAsia="Times New Roman" w:cs="Times New Roman"/>
          <w:kern w:val="0"/>
          <w:szCs w:val="24"/>
          <w:lang w:eastAsia="ru-RU"/>
          <w14:ligatures w14:val="none"/>
        </w:rPr>
        <w:t>-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>T2 (2x 10GbE RJ45).</w:t>
      </w:r>
    </w:p>
    <w:p w14:paraId="01332364" w14:textId="77777777" w:rsidR="003E21AC" w:rsidRDefault="003E21AC" w:rsidP="00065D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Блоки питания:</w:t>
      </w:r>
      <w:r w:rsidRPr="003E21A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4 × 2000W (схема полного резервирования и распределения нагрузки).</w:t>
      </w:r>
    </w:p>
    <w:p w14:paraId="4AB9DB5D" w14:textId="7427CDC6" w:rsidR="003E21AC" w:rsidRPr="00207934" w:rsidRDefault="003E21AC" w:rsidP="00915BF5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106496D" w14:textId="0E38F61E" w:rsidR="003E21AC" w:rsidRPr="003E21AC" w:rsidRDefault="003E21AC" w:rsidP="003E21AC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E21A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архитектурные преимущества</w:t>
      </w:r>
    </w:p>
    <w:p w14:paraId="493BD24C" w14:textId="52DADA58" w:rsidR="003E21AC" w:rsidRPr="003E21AC" w:rsidRDefault="003E21AC" w:rsidP="005E115C">
      <w:pPr>
        <w:rPr>
          <w:lang w:eastAsia="ru-RU"/>
        </w:rPr>
      </w:pPr>
      <w:r w:rsidRPr="003E21AC">
        <w:rPr>
          <w:lang w:eastAsia="ru-RU"/>
        </w:rPr>
        <w:t>Физический разъем PCI Express 4.0 x16 на игровых и серверных видеокартах выглядит одинаково, однако логика работы кремния, микрокод контроллеров и драйверы отличаются кардинально. Данная конфигурация решает все известные проблемы эксплуатации тяжелых ИИ</w:t>
      </w:r>
      <w:r w:rsidR="00065D13">
        <w:rPr>
          <w:lang w:eastAsia="ru-RU"/>
        </w:rPr>
        <w:t>-</w:t>
      </w:r>
      <w:r w:rsidRPr="003E21AC">
        <w:rPr>
          <w:lang w:eastAsia="ru-RU"/>
        </w:rPr>
        <w:t>моделей в Production</w:t>
      </w:r>
      <w:r w:rsidR="00065D13">
        <w:rPr>
          <w:lang w:eastAsia="ru-RU"/>
        </w:rPr>
        <w:t>-</w:t>
      </w:r>
      <w:r w:rsidRPr="003E21AC">
        <w:rPr>
          <w:lang w:eastAsia="ru-RU"/>
        </w:rPr>
        <w:t>среде:</w:t>
      </w:r>
    </w:p>
    <w:p w14:paraId="16FF7ACA" w14:textId="2788CA5E" w:rsidR="003E21AC" w:rsidRPr="003E21AC" w:rsidRDefault="003E21AC" w:rsidP="005E115C">
      <w:pPr>
        <w:rPr>
          <w:lang w:eastAsia="ru-RU"/>
        </w:rPr>
      </w:pPr>
      <w:r w:rsidRPr="003E21AC">
        <w:rPr>
          <w:b/>
          <w:bCs/>
          <w:lang w:eastAsia="ru-RU"/>
        </w:rPr>
        <w:t xml:space="preserve">1. Выделенный канал связи </w:t>
      </w:r>
      <w:proofErr w:type="spellStart"/>
      <w:r w:rsidRPr="003E21AC">
        <w:rPr>
          <w:b/>
          <w:bCs/>
          <w:lang w:eastAsia="ru-RU"/>
        </w:rPr>
        <w:t>NVLink</w:t>
      </w:r>
      <w:proofErr w:type="spellEnd"/>
      <w:r w:rsidRPr="003E21AC">
        <w:rPr>
          <w:b/>
          <w:bCs/>
          <w:lang w:eastAsia="ru-RU"/>
        </w:rPr>
        <w:t xml:space="preserve"> вместо перегрузки шины </w:t>
      </w:r>
      <w:proofErr w:type="spellStart"/>
      <w:r w:rsidRPr="003E21AC">
        <w:rPr>
          <w:b/>
          <w:bCs/>
          <w:lang w:eastAsia="ru-RU"/>
        </w:rPr>
        <w:t>PCIe</w:t>
      </w:r>
      <w:proofErr w:type="spellEnd"/>
      <w:r w:rsidR="005E115C">
        <w:rPr>
          <w:b/>
          <w:bCs/>
          <w:lang w:eastAsia="ru-RU"/>
        </w:rPr>
        <w:t>.</w:t>
      </w:r>
      <w:r w:rsidRPr="003E21AC">
        <w:rPr>
          <w:lang w:eastAsia="ru-RU"/>
        </w:rPr>
        <w:t xml:space="preserve"> В моделях RTX (включая 4090) технология прямой связи убрана. При тензорном распараллеливании LLM</w:t>
      </w:r>
      <w:r w:rsidR="00065D13">
        <w:rPr>
          <w:lang w:eastAsia="ru-RU"/>
        </w:rPr>
        <w:t>-</w:t>
      </w:r>
      <w:r w:rsidRPr="003E21AC">
        <w:rPr>
          <w:lang w:eastAsia="ru-RU"/>
        </w:rPr>
        <w:t xml:space="preserve">моделей две игровые карты пересылают гигантские объемы данных друг другу через </w:t>
      </w:r>
      <w:r w:rsidRPr="003E21AC">
        <w:rPr>
          <w:lang w:eastAsia="ru-RU"/>
        </w:rPr>
        <w:lastRenderedPageBreak/>
        <w:t xml:space="preserve">материнскую плату и процессор. Это "душит" шину </w:t>
      </w:r>
      <w:proofErr w:type="spellStart"/>
      <w:r w:rsidRPr="003E21AC">
        <w:rPr>
          <w:lang w:eastAsia="ru-RU"/>
        </w:rPr>
        <w:t>PCIe</w:t>
      </w:r>
      <w:proofErr w:type="spellEnd"/>
      <w:r w:rsidRPr="003E21AC">
        <w:rPr>
          <w:lang w:eastAsia="ru-RU"/>
        </w:rPr>
        <w:t>, приводит к микро</w:t>
      </w:r>
      <w:r w:rsidR="00065D13">
        <w:rPr>
          <w:lang w:eastAsia="ru-RU"/>
        </w:rPr>
        <w:t>-</w:t>
      </w:r>
      <w:r w:rsidRPr="003E21AC">
        <w:rPr>
          <w:lang w:eastAsia="ru-RU"/>
        </w:rPr>
        <w:t xml:space="preserve">таймаутам и аппаратному отключению видеокарт. Карты </w:t>
      </w:r>
      <w:r w:rsidRPr="003E21AC">
        <w:rPr>
          <w:b/>
          <w:bCs/>
          <w:lang w:eastAsia="ru-RU"/>
        </w:rPr>
        <w:t>NVIDIA A100</w:t>
      </w:r>
      <w:r w:rsidRPr="003E21AC">
        <w:rPr>
          <w:lang w:eastAsia="ru-RU"/>
        </w:rPr>
        <w:t xml:space="preserve"> связываются между собой специальными мостиками </w:t>
      </w:r>
      <w:proofErr w:type="spellStart"/>
      <w:r w:rsidRPr="003E21AC">
        <w:rPr>
          <w:lang w:eastAsia="ru-RU"/>
        </w:rPr>
        <w:t>NVLink</w:t>
      </w:r>
      <w:proofErr w:type="spellEnd"/>
      <w:r w:rsidRPr="003E21AC">
        <w:rPr>
          <w:lang w:eastAsia="ru-RU"/>
        </w:rPr>
        <w:t xml:space="preserve"> (скорость обмена до 600 ГБ/с) в обход CPU. Шина материнской платы остается свободной для штатных задач.</w:t>
      </w:r>
    </w:p>
    <w:p w14:paraId="62164E4E" w14:textId="6A83A5C0" w:rsidR="003E21AC" w:rsidRPr="003E21AC" w:rsidRDefault="003E21AC" w:rsidP="005E115C">
      <w:pPr>
        <w:rPr>
          <w:lang w:eastAsia="ru-RU"/>
        </w:rPr>
      </w:pPr>
      <w:r w:rsidRPr="003E21AC">
        <w:rPr>
          <w:b/>
          <w:bCs/>
          <w:lang w:eastAsia="ru-RU"/>
        </w:rPr>
        <w:t>2. Удержание 100% нагрузки</w:t>
      </w:r>
      <w:r w:rsidR="005E115C">
        <w:rPr>
          <w:b/>
          <w:bCs/>
          <w:lang w:eastAsia="ru-RU"/>
        </w:rPr>
        <w:t xml:space="preserve"> </w:t>
      </w:r>
      <w:r w:rsidRPr="003E21AC">
        <w:rPr>
          <w:b/>
          <w:bCs/>
          <w:lang w:eastAsia="ru-RU"/>
        </w:rPr>
        <w:t>и обработка ошибок (AER)</w:t>
      </w:r>
      <w:r w:rsidR="005E115C">
        <w:rPr>
          <w:b/>
          <w:bCs/>
          <w:lang w:eastAsia="ru-RU"/>
        </w:rPr>
        <w:t>.</w:t>
      </w:r>
      <w:r w:rsidRPr="003E21AC">
        <w:rPr>
          <w:lang w:eastAsia="ru-RU"/>
        </w:rPr>
        <w:t xml:space="preserve"> Контроллеры игровых видеокарт спроектированы под импульсную нагрузку. При непрерывной прокачке весов нейросетей 24/7 неизбежно возникают сигнальные ошибки передачи данных. Десктопный драйвер не умеет их корректно обрабатывать, что приводит к "падению" ядра ОС и требует перезагрузки сервера. Архитектура NVIDIA A100 имеет механизм </w:t>
      </w:r>
      <w:r w:rsidRPr="005E115C">
        <w:rPr>
          <w:lang w:eastAsia="ru-RU"/>
        </w:rPr>
        <w:t>AER</w:t>
      </w:r>
      <w:r w:rsidR="005E115C">
        <w:rPr>
          <w:lang w:eastAsia="ru-RU"/>
        </w:rPr>
        <w:t xml:space="preserve"> </w:t>
      </w:r>
      <w:r w:rsidRPr="003E21AC">
        <w:rPr>
          <w:lang w:eastAsia="ru-RU"/>
        </w:rPr>
        <w:t xml:space="preserve">и сквозную защиту ECC (включая кэши L2 и саму память HBM2e). Сервер "на лету" исправляет перевернутые биты на шине без прерывания процесса </w:t>
      </w:r>
      <w:proofErr w:type="spellStart"/>
      <w:r w:rsidRPr="003E21AC">
        <w:rPr>
          <w:lang w:eastAsia="ru-RU"/>
        </w:rPr>
        <w:t>инференса</w:t>
      </w:r>
      <w:proofErr w:type="spellEnd"/>
      <w:r w:rsidRPr="003E21AC">
        <w:rPr>
          <w:lang w:eastAsia="ru-RU"/>
        </w:rPr>
        <w:t>.</w:t>
      </w:r>
    </w:p>
    <w:p w14:paraId="0CC6E5A6" w14:textId="660D6A13" w:rsidR="003E21AC" w:rsidRPr="003E21AC" w:rsidRDefault="003E21AC" w:rsidP="005E115C">
      <w:pPr>
        <w:rPr>
          <w:lang w:eastAsia="ru-RU"/>
        </w:rPr>
      </w:pPr>
      <w:r w:rsidRPr="003E21AC">
        <w:rPr>
          <w:b/>
          <w:bCs/>
          <w:lang w:eastAsia="ru-RU"/>
        </w:rPr>
        <w:t>3. Истинная аппаратная виртуализация</w:t>
      </w:r>
      <w:r w:rsidR="005E115C">
        <w:rPr>
          <w:b/>
          <w:bCs/>
          <w:lang w:eastAsia="ru-RU"/>
        </w:rPr>
        <w:t>.</w:t>
      </w:r>
      <w:r w:rsidRPr="003E21AC">
        <w:rPr>
          <w:lang w:eastAsia="ru-RU"/>
        </w:rPr>
        <w:t xml:space="preserve"> Использование технологии проброса игровых видеокарт в виртуальные машины всегда работает нестабильно под серьезной нагрузкой. NVIDIA A100 </w:t>
      </w:r>
      <w:proofErr w:type="spellStart"/>
      <w:r w:rsidRPr="003E21AC">
        <w:rPr>
          <w:lang w:eastAsia="ru-RU"/>
        </w:rPr>
        <w:t>аппаратно</w:t>
      </w:r>
      <w:proofErr w:type="spellEnd"/>
      <w:r w:rsidRPr="003E21AC">
        <w:rPr>
          <w:lang w:eastAsia="ru-RU"/>
        </w:rPr>
        <w:t xml:space="preserve"> поддерживает технологию </w:t>
      </w:r>
      <w:r w:rsidRPr="005E115C">
        <w:rPr>
          <w:lang w:eastAsia="ru-RU"/>
        </w:rPr>
        <w:t>MIG</w:t>
      </w:r>
      <w:r w:rsidRPr="003E21AC">
        <w:rPr>
          <w:b/>
          <w:bCs/>
          <w:lang w:eastAsia="ru-RU"/>
        </w:rPr>
        <w:t xml:space="preserve"> </w:t>
      </w:r>
      <w:r w:rsidRPr="003E21AC">
        <w:rPr>
          <w:lang w:eastAsia="ru-RU"/>
        </w:rPr>
        <w:t>и SR</w:t>
      </w:r>
      <w:r w:rsidR="00065D13">
        <w:rPr>
          <w:lang w:eastAsia="ru-RU"/>
        </w:rPr>
        <w:t>-</w:t>
      </w:r>
      <w:r w:rsidRPr="003E21AC">
        <w:rPr>
          <w:lang w:eastAsia="ru-RU"/>
        </w:rPr>
        <w:t>IOV. Вы сможете на аппаратном уровне "нарезать" каждую A100 на изолированные инстансы и безопасно раздавать их разным AI</w:t>
      </w:r>
      <w:r w:rsidR="00065D13">
        <w:rPr>
          <w:lang w:eastAsia="ru-RU"/>
        </w:rPr>
        <w:t>-</w:t>
      </w:r>
      <w:r w:rsidRPr="003E21AC">
        <w:rPr>
          <w:lang w:eastAsia="ru-RU"/>
        </w:rPr>
        <w:t>агентам или виртуальным машинам без риска взаимного влияния или обрушения хоста.</w:t>
      </w:r>
    </w:p>
    <w:p w14:paraId="4564C694" w14:textId="6B382575" w:rsidR="003E21AC" w:rsidRPr="003E21AC" w:rsidRDefault="003E21AC" w:rsidP="005E115C">
      <w:pPr>
        <w:rPr>
          <w:lang w:eastAsia="ru-RU"/>
        </w:rPr>
      </w:pPr>
      <w:r w:rsidRPr="003E21AC">
        <w:rPr>
          <w:b/>
          <w:bCs/>
          <w:lang w:eastAsia="ru-RU"/>
        </w:rPr>
        <w:t>4. Исключение рисков по питанию и охлаждению</w:t>
      </w:r>
      <w:r w:rsidRPr="003E21AC">
        <w:rPr>
          <w:lang w:eastAsia="ru-RU"/>
        </w:rPr>
        <w:t xml:space="preserve"> Десктопные карты RTX 4090 потребляют до 450</w:t>
      </w:r>
      <w:r w:rsidR="00065D13">
        <w:rPr>
          <w:lang w:eastAsia="ru-RU"/>
        </w:rPr>
        <w:t>-</w:t>
      </w:r>
      <w:r w:rsidRPr="003E21AC">
        <w:rPr>
          <w:lang w:eastAsia="ru-RU"/>
        </w:rPr>
        <w:t xml:space="preserve">600Вт через оплавляющийся коннектор и имеют массивные вентиляторы, ресурс которых ограничен при круглосуточной работе. В предложенном сервере A100 имеют пассивное исполнение </w:t>
      </w:r>
      <w:r w:rsidR="00065D13">
        <w:rPr>
          <w:lang w:eastAsia="ru-RU"/>
        </w:rPr>
        <w:t xml:space="preserve">- </w:t>
      </w:r>
      <w:r w:rsidRPr="003E21AC">
        <w:rPr>
          <w:lang w:eastAsia="ru-RU"/>
        </w:rPr>
        <w:t>они продуваются мощнейшими серверными кулерами шасси, а питание обеспечивается промышленной кросс</w:t>
      </w:r>
      <w:r w:rsidR="00065D13">
        <w:rPr>
          <w:lang w:eastAsia="ru-RU"/>
        </w:rPr>
        <w:t>-</w:t>
      </w:r>
      <w:r w:rsidRPr="003E21AC">
        <w:rPr>
          <w:lang w:eastAsia="ru-RU"/>
        </w:rPr>
        <w:t>платой от четырех независимых блоков питания по 2000 Вт. Риск остановки сервиса из</w:t>
      </w:r>
      <w:r w:rsidR="00065D13">
        <w:rPr>
          <w:lang w:eastAsia="ru-RU"/>
        </w:rPr>
        <w:t>-</w:t>
      </w:r>
      <w:r w:rsidRPr="003E21AC">
        <w:rPr>
          <w:lang w:eastAsia="ru-RU"/>
        </w:rPr>
        <w:t>за перегрева или проблем с питанием сведен к нулю.</w:t>
      </w:r>
    </w:p>
    <w:p w14:paraId="5BD55DFD" w14:textId="77777777" w:rsidR="003E21AC" w:rsidRPr="00207934" w:rsidRDefault="003E21AC" w:rsidP="003E21AC">
      <w:pPr>
        <w:rPr>
          <w:lang w:eastAsia="ru-RU"/>
        </w:rPr>
      </w:pPr>
    </w:p>
    <w:p w14:paraId="0CC97B07" w14:textId="77777777" w:rsidR="00065D13" w:rsidRPr="00065D13" w:rsidRDefault="00065D13" w:rsidP="00065D1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065D13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Коммерческие условия</w:t>
      </w:r>
    </w:p>
    <w:p w14:paraId="658E49D1" w14:textId="168B267D" w:rsidR="0054479A" w:rsidRPr="0054479A" w:rsidRDefault="0054479A" w:rsidP="00065D13">
      <w:pPr>
        <w:rPr>
          <w:lang w:val="en-US" w:eastAsia="ru-RU"/>
        </w:rPr>
      </w:pPr>
    </w:p>
    <w:sectPr w:rsidR="0054479A" w:rsidRPr="0054479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6DE"/>
    <w:multiLevelType w:val="multilevel"/>
    <w:tmpl w:val="D92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20F2D"/>
    <w:multiLevelType w:val="multilevel"/>
    <w:tmpl w:val="AA70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17E91"/>
    <w:multiLevelType w:val="multilevel"/>
    <w:tmpl w:val="B3D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528810">
    <w:abstractNumId w:val="1"/>
  </w:num>
  <w:num w:numId="2" w16cid:durableId="1180579677">
    <w:abstractNumId w:val="2"/>
  </w:num>
  <w:num w:numId="3" w16cid:durableId="207966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E8"/>
    <w:rsid w:val="00065D13"/>
    <w:rsid w:val="00172A9A"/>
    <w:rsid w:val="001D46FD"/>
    <w:rsid w:val="00200164"/>
    <w:rsid w:val="00207934"/>
    <w:rsid w:val="003778DB"/>
    <w:rsid w:val="003E21AC"/>
    <w:rsid w:val="004320A8"/>
    <w:rsid w:val="004B70A7"/>
    <w:rsid w:val="0054479A"/>
    <w:rsid w:val="005E115C"/>
    <w:rsid w:val="006066F9"/>
    <w:rsid w:val="006C0B77"/>
    <w:rsid w:val="007226CE"/>
    <w:rsid w:val="007F3AFB"/>
    <w:rsid w:val="008242FF"/>
    <w:rsid w:val="00870751"/>
    <w:rsid w:val="009001A6"/>
    <w:rsid w:val="00915BF5"/>
    <w:rsid w:val="00922C48"/>
    <w:rsid w:val="00A549E8"/>
    <w:rsid w:val="00B915B7"/>
    <w:rsid w:val="00C42AD0"/>
    <w:rsid w:val="00CF01B5"/>
    <w:rsid w:val="00EA59DF"/>
    <w:rsid w:val="00EE4070"/>
    <w:rsid w:val="00F12C76"/>
    <w:rsid w:val="00FD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D5E18"/>
  <w15:chartTrackingRefBased/>
  <w15:docId w15:val="{94EF505A-1FC0-45CE-89EC-377B79D3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15C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5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49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9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9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9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9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9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9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9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49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549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9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549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549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549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549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549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549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9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9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54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49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9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49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549E8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001A6"/>
    <w:pPr>
      <w:spacing w:before="100" w:beforeAutospacing="1" w:after="100" w:afterAutospacing="1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9001A6"/>
    <w:rPr>
      <w:b/>
      <w:bCs/>
    </w:rPr>
  </w:style>
  <w:style w:type="character" w:styleId="ae">
    <w:name w:val="Emphasis"/>
    <w:basedOn w:val="a0"/>
    <w:uiPriority w:val="20"/>
    <w:qFormat/>
    <w:rsid w:val="009001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Георгий Боярков</cp:lastModifiedBy>
  <cp:revision>14</cp:revision>
  <dcterms:created xsi:type="dcterms:W3CDTF">2026-07-27T18:06:00Z</dcterms:created>
  <dcterms:modified xsi:type="dcterms:W3CDTF">2026-07-28T08:27:00Z</dcterms:modified>
</cp:coreProperties>
</file>