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settings.xml" ContentType="application/vnd.openxmlformats-officedocument.wordprocessingml.settings+xml"/>
  <Override PartName="/word/footer26.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header8.xml" ContentType="application/vnd.openxmlformats-officedocument.wordprocessingml.header+xml"/>
  <Override PartName="/word/header23.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header16.xml" ContentType="application/vnd.openxmlformats-officedocument.wordprocessingml.header+xml"/>
  <Override PartName="/word/header25.xml" ContentType="application/vnd.openxmlformats-officedocument.wordprocessingml.header+xml"/>
  <Override PartName="/word/header21.xml" ContentType="application/vnd.openxmlformats-officedocument.wordprocessingml.header+xml"/>
  <Override PartName="/word/footer16.xml" ContentType="application/vnd.openxmlformats-officedocument.wordprocessingml.footer+xml"/>
  <Override PartName="/word/header5.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header4.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footer11.xml" ContentType="application/vnd.openxmlformats-officedocument.wordprocessingml.footer+xml"/>
  <Override PartName="/word/footer6.xml" ContentType="application/vnd.openxmlformats-officedocument.wordprocessingml.footer+xml"/>
  <Override PartName="/word/footer10.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18.xml" ContentType="application/vnd.openxmlformats-officedocument.wordprocessingml.footer+xml"/>
  <Override PartName="/word/footer5.xml" ContentType="application/vnd.openxmlformats-officedocument.wordprocessingml.footer+xml"/>
  <Override PartName="/word/header13.xml" ContentType="application/vnd.openxmlformats-officedocument.wordprocessingml.header+xml"/>
  <Override PartName="/word/footer24.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styles.xml" ContentType="application/vnd.openxmlformats-officedocument.wordprocessingml.styles+xml"/>
  <Override PartName="/word/header18.xml" ContentType="application/vnd.openxmlformats-officedocument.wordprocessingml.header+xml"/>
  <Override PartName="/word/footer20.xml" ContentType="application/vnd.openxmlformats-officedocument.wordprocessingml.footer+xml"/>
  <Override PartName="/word/footer19.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header3.xml" ContentType="application/vnd.openxmlformats-officedocument.wordprocessingml.header+xml"/>
  <Override PartName="/word/header15.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Override PartName="/word/footer21.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22.xml" ContentType="application/vnd.openxmlformats-officedocument.wordprocessingml.header+xml"/>
  <Override PartName="/word/header24.xml" ContentType="application/vnd.openxmlformats-officedocument.wordprocessingml.header+xml"/>
  <Override PartName="/word/comments.xml" ContentType="application/vnd.openxmlformats-officedocument.wordprocessingml.comments+xml"/>
  <Override PartName="/word/header27.xml" ContentType="application/vnd.openxmlformats-officedocument.wordprocessingml.header+xml"/>
  <Override PartName="/word/header17.xml" ContentType="application/vnd.openxmlformats-officedocument.wordprocessingml.header+xml"/>
  <Override PartName="/word/footer2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18"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vanish w:val="false"/>
              <w:webHidden/>
              <w:color w:val="000000"/>
              <w:sz w:val="22"/>
              <w:szCs w:val="22"/>
            </w:rPr>
            <w:instrText xml:space="preserve"> TOC \z \o "1-9" \u \t "heading 1,1,heading 2,2,heading 3,3" \h</w:instrText>
          </w:r>
          <w:r>
            <w:rPr>
              <w:rStyle w:val="Enlacedelndice"/>
              <w:rFonts w:eastAsia="Arial" w:cs="Arial" w:ascii="Arial" w:hAnsi="Arial"/>
              <w:vanish w:val="false"/>
              <w:webHidden/>
              <w:color w:val="000000"/>
              <w:sz w:val="22"/>
              <w:szCs w:val="22"/>
            </w:rPr>
            <w:fldChar w:fldCharType="separate"/>
          </w:r>
          <w:hyperlink w:anchor="_heading=h.90isdxn57nh2">
            <w:r>
              <w:rPr>
                <w:rStyle w:val="Enlacedelndice"/>
                <w:rFonts w:eastAsia="Arial" w:cs="Arial" w:ascii="Arial" w:hAnsi="Arial"/>
                <w:vanish w:val="false"/>
                <w:webHidden/>
                <w:color w:val="000000"/>
                <w:sz w:val="22"/>
                <w:szCs w:val="22"/>
              </w:rPr>
              <w:t>Índice …………</w:t>
            </w:r>
            <w:r>
              <w:rPr>
                <w:rStyle w:val="Enlacedelndice"/>
                <w:rFonts w:eastAsia="Arial" w:cs="Arial" w:ascii="Arial" w:hAnsi="Arial"/>
                <w:vanish w:val="false"/>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vanish w:val="false"/>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vanish w:val="false"/>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vanish w:val="false"/>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vanish w:val="false"/>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vanish w:val="false"/>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vanish w:val="false"/>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vanish w:val="false"/>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vanish w:val="false"/>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vanish w:val="false"/>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vanish w:val="false"/>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vanish w:val="false"/>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vanish w:val="false"/>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vanish w:val="false"/>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vanish w:val="false"/>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vanish w:val="false"/>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vanish w:val="false"/>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vanish w:val="false"/>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vanish w:val="false"/>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vanish w:val="false"/>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vanish w:val="false"/>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vanish w:val="false"/>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vanish w:val="false"/>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vanish w:val="false"/>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vanish w:val="false"/>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vanish w:val="false"/>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vanish w:val="false"/>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vanish w:val="false"/>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vanish w:val="false"/>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h9zjkx4vbzvv">
            <w:r>
              <w:rPr>
                <w:rStyle w:val="Enlacedelndice"/>
                <w:rFonts w:eastAsia="Arial" w:cs="Arial" w:ascii="Arial" w:hAnsi="Arial"/>
                <w:vanish w:val="false"/>
                <w:webHidden/>
                <w:color w:val="000000"/>
                <w:sz w:val="22"/>
                <w:szCs w:val="22"/>
              </w:rPr>
              <w:t>12.</w:t>
              <w:tab/>
              <w:t>Anexos</w:t>
              <w:tab/>
              <w:t>32</w:t>
            </w:r>
          </w:hyperlink>
          <w:r>
            <w:rPr>
              <w:rStyle w:val="Enlacedelndice"/>
              <w:rFonts w:eastAsia="Arial" w:cs="Arial" w:ascii="Arial" w:hAnsi="Arial"/>
              <w:vanish w:val="false"/>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Normal"/>
        <w:numPr>
          <w:ilvl w:val="0"/>
          <w:numId w:val="1"/>
        </w:numPr>
        <w:spacing w:lineRule="auto" w:line="360" w:before="0" w:after="160"/>
        <w:jc w:val="both"/>
        <w:rPr>
          <w:rFonts w:ascii="Arial" w:hAnsi="Arial" w:eastAsia="Arial" w:cs="Arial"/>
          <w:b/>
          <w:bCs/>
          <w:color w:val="000000"/>
          <w:sz w:val="22"/>
          <w:szCs w:val="22"/>
        </w:rPr>
      </w:pPr>
      <w:bookmarkStart w:id="2" w:name="_heading=h.e7npegq3cp2d"/>
      <w:bookmarkEnd w:id="2"/>
      <w:r>
        <w:rPr>
          <w:rFonts w:eastAsia="Arial" w:cs="Arial" w:ascii="Arial" w:hAnsi="Arial"/>
          <w:b/>
          <w:bCs/>
          <w:color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El objetivo general del proyecto es desarrollar un sistema web que permita gestionar de manera eficiente un catálogo musical mediante el</w:t>
      </w:r>
      <w:r>
        <w:rPr>
          <w:rFonts w:eastAsia="Arial" w:cs="Arial" w:ascii="Arial" w:hAnsi="Arial"/>
          <w:sz w:val="22"/>
          <w:szCs w:val="22"/>
        </w:rPr>
        <w:t xml:space="preserve"> CRUD</w:t>
      </w:r>
      <w:r>
        <w:rPr>
          <w:rFonts w:eastAsia="Arial" w:cs="Arial" w:ascii="Arial" w:hAnsi="Arial"/>
          <w:color w:val="000000"/>
          <w:sz w:val="22"/>
          <w:szCs w:val="22"/>
        </w:rPr>
        <w:t xml:space="preserve"> </w:t>
      </w:r>
      <w:r>
        <w:rPr>
          <w:rFonts w:eastAsia="Arial" w:cs="Arial" w:ascii="Arial" w:hAnsi="Arial"/>
          <w:sz w:val="22"/>
          <w:szCs w:val="22"/>
        </w:rPr>
        <w:t>para</w:t>
      </w:r>
      <w:r>
        <w:rPr>
          <w:rFonts w:eastAsia="Arial" w:cs="Arial" w:ascii="Arial" w:hAnsi="Arial"/>
          <w:color w:val="000000"/>
          <w:sz w:val="22"/>
          <w:szCs w:val="22"/>
        </w:rPr>
        <w:t xml:space="preserve"> bandas y álbumes. 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La solución fue desarrollada utilizando Java y Spring Boot, aplicando el patrón MVC. Para la capa de </w:t>
      </w:r>
      <w:r>
        <w:rPr>
          <w:rFonts w:eastAsia="Arial" w:cs="Arial" w:ascii="Arial" w:hAnsi="Arial"/>
          <w:sz w:val="22"/>
          <w:szCs w:val="22"/>
        </w:rPr>
        <w:t>vista</w:t>
      </w:r>
      <w:r>
        <w:rPr>
          <w:rFonts w:eastAsia="Arial" w:cs="Arial" w:ascii="Arial" w:hAnsi="Arial"/>
          <w:color w:val="000000"/>
          <w:sz w:val="22"/>
          <w:szCs w:val="22"/>
        </w:rPr>
        <w:t xml:space="preserve">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Entre las funcionalidades implementadas se encuentran la gestión CRUD de bandas y álbumes, asociación de álbumes con sus respectivas bandas, consultas y búsquedas, visualización detallada de información y un panel principal con indicadores generales del catálogo. Como resultado, se obtuvo una aplicación web funcional, estructurada por capas y con capacidad de crecimiento. Se concluye que Melodic Vault demuestra la aplicación práctica de tecnologías Java Web para transformar información musical dispersa en un catálogo digital organizado, consultable y escalable.</w:t>
      </w:r>
    </w:p>
    <w:p>
      <w:pPr>
        <w:pStyle w:val="Normal"/>
        <w:numPr>
          <w:ilvl w:val="0"/>
          <w:numId w:val="1"/>
        </w:numPr>
        <w:spacing w:lineRule="auto" w:line="360" w:before="0" w:after="160"/>
        <w:jc w:val="both"/>
        <w:rPr>
          <w:rFonts w:ascii="Arial" w:hAnsi="Arial" w:eastAsia="Arial" w:cs="Arial"/>
          <w:b/>
          <w:bCs/>
          <w:color w:val="000000"/>
          <w:sz w:val="22"/>
          <w:szCs w:val="22"/>
        </w:rPr>
      </w:pPr>
      <w:r>
        <w:rPr>
          <w:rFonts w:eastAsia="Arial" w:cs="Arial" w:ascii="Arial" w:hAnsi="Arial"/>
          <w:b/>
          <w:bCs/>
          <w:color w:val="000000"/>
          <w:sz w:val="22"/>
          <w:szCs w:val="22"/>
        </w:rPr>
        <w:t>Introducción</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digitalización de este proceso permite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Además de simplificar la administración del catálogo, esta estructura permite que el sistema pueda evolucionar posteriormente incorporando nuevos géneros, artistas, contenidos editoriales, usuarios, valoraciones e integraciones con servicios musicales externos.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emplean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una plataforma organizada para la administración y exploración de información musical, al mismo tiempo que constituye una solución escalable sobre la cual puedan desarrollarse futuras funcionalidades orientadas a convertir el catálogo en una plataforma musical más completa e interactiva.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spacing w:lineRule="auto" w:line="360" w:before="0" w:after="160"/>
        <w:jc w:val="both"/>
        <w:rPr>
          <w:rFonts w:ascii="Arial" w:hAnsi="Arial" w:eastAsia="Arial" w:cs="Arial"/>
          <w:b/>
          <w:bCs/>
          <w:color w:val="000000"/>
          <w:sz w:val="22"/>
          <w:szCs w:val="22"/>
        </w:rPr>
      </w:pPr>
      <w:bookmarkStart w:id="3" w:name="_heading=h.sgn69dxlisj3"/>
      <w:bookmarkEnd w:id="3"/>
      <w:r>
        <w:rPr>
          <w:rFonts w:eastAsia="Arial" w:cs="Arial" w:ascii="Arial" w:hAnsi="Arial"/>
          <w:b/>
          <w:bCs/>
          <w:color w:val="000000"/>
          <w:sz w:val="22"/>
          <w:szCs w:val="22"/>
        </w:rPr>
        <w:t>Diagnóstico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Style w:val="ad"/>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220"/>
        <w:gridCol w:w="2322"/>
        <w:gridCol w:w="2445"/>
        <w:gridCol w:w="3083"/>
      </w:tblGrid>
      <w:tr>
        <w:trPr>
          <w:trHeight w:val="288" w:hRule="atLeast"/>
        </w:trPr>
        <w:tc>
          <w:tcPr>
            <w:tcW w:w="1220" w:type="dxa"/>
            <w:tcBorders>
              <w:top w:val="single" w:sz="4" w:space="0" w:color="000000"/>
              <w:bottom w:val="single" w:sz="4" w:space="0" w:color="000000"/>
            </w:tcBorders>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2322"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2445"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83"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20"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2322"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Gran cantidad de contenido disponible puede dificultar la visibilidad y descubrimiento de propuestas musicales diversas o pertenecientes a nichos específicos.</w:t>
            </w:r>
          </w:p>
        </w:tc>
        <w:tc>
          <w:tcPr>
            <w:tcW w:w="2445"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 advierte que los modelos digitales pueden presentar dificultades para la diversidad y la capacidad de descubrimiento de determinados contenidos culturales.</w:t>
            </w:r>
          </w:p>
        </w:tc>
        <w:tc>
          <w:tcPr>
            <w:tcW w:w="3083"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2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industria de la música grabada continúa expandiéndose y el entorno digital constituye su principal fuente de ingresos. Aactualmente tienen los canales digitales para la distribución y acceso a contenidos musicales.</w:t>
            </w:r>
          </w:p>
        </w:tc>
        <w:tc>
          <w:tcPr>
            <w:tcW w:w="244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IFPI (2026) informó que los ingresos mundiales de música grabada alcanzaron US$31 700 millones durante 2025, creciendo 6,4 %. El streaming representó el 69,6 % de los ingresos mundiales.</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Aunque Melodic Vault no comercializa música, puede funcionar como plataforma de consulta y descubrimiento, organizando información que facilite al usuario conocer artistas y álbumes y, posteriormente, enlazar con servicios externos oficiales de reproducción o adquisición.</w:t>
            </w:r>
          </w:p>
        </w:tc>
      </w:tr>
      <w:tr>
        <w:trPr>
          <w:trHeight w:val="288" w:hRule="atLeast"/>
        </w:trPr>
        <w:tc>
          <w:tcPr>
            <w:tcW w:w="1220"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Política/legal</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demás contenidos relacionados con obras musicales requiere considerar los derechos de propiedad intelectual y las condiciones bajo las cuales pueden utilizarse recursos de terceros en una plataforma digital.</w:t>
            </w:r>
          </w:p>
        </w:tc>
        <w:tc>
          <w:tcPr>
            <w:tcW w:w="244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En Perú, el Decreto Legislativo N.° 822 – Ley sobre el Derecho de Autor, difundido por INDECOPI, establece el marco normativo aplicable a la protección de obras y derechos de autor.</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sistema debe mantener una administración responsable de los recursos utilizados, priorizando información descriptiva, enlaces o contenidos cuya utilización esté autorizada y evitando almacenar o distribuir material protegido sin autorización</w:t>
            </w:r>
          </w:p>
        </w:tc>
      </w:tr>
      <w:tr>
        <w:trPr>
          <w:trHeight w:val="288" w:hRule="atLeast"/>
        </w:trPr>
        <w:tc>
          <w:tcPr>
            <w:tcW w:w="122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la digitalización de las industrias culturales favorecen el desarrollo de plataformas web para consultar, organizar y descubrir información. A su vez, los usuarios esperan interfaces accesibles, dinámicas y con mecanismos eficientes de búsqueda.</w:t>
            </w:r>
          </w:p>
        </w:tc>
        <w:tc>
          <w:tcPr>
            <w:tcW w:w="244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INEI informó que durante el primer trimestre de 2025 el 79,0 % de la población peruana de seis años o más utilizó Internet, alcanzando el 89,1 % en Lima Metropolitana..</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responde a esta dimensión mediante una aplicación web desarrollada con Spring Boot, Thymeleaf, JPA y MySQL que permite centralizar información musical, realizar búsquedas, administrar registros y consultar relaciones entre bandas y álbumes mediante una interfaz web.</w:t>
            </w:r>
          </w:p>
        </w:tc>
      </w:tr>
    </w:tbl>
    <w:p>
      <w:pPr>
        <w:pStyle w:val="Normal"/>
        <w:spacing w:lineRule="auto" w:line="360" w:before="0" w:after="160"/>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Elaboración a partir de información de IFPI (2026), INEI (2025), UNESCO (2022) e INDECOPI (2021).</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P — Políticos: Decisiones y políticas del gobierno, estabilidad política, impuestos y subsidios.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Económicos: Inflación, tasas de interés, empleo, crecimiento económico y tipo de cambio.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S — Sociales: Demografía, cultura, estilo de vida, hábitos de consumo y nivel educativo.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T — Tecnológicos: Innovación, gasto en investigación y desarrollo, automatización y acceso a internet.</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Ecológicos (o ambientales): Cambio climático, leyes de protección ambiental, reciclaje y uso de energías renovables.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L — Legales: Leyes laborales, normativas de salud, seguridad, y leyes de propiedad intelectual o de defensa al consumidor.</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oportunidad de mejora identificada consiste, por tanto, en mejorar la organización, administración y capacidad de descubrimiento de información sobre bandas y producciones discográficas mediante una plataforma web especializada, estructurada y escalable. A partir de esta base, el sistema podrá evolucionar posteriormente incorporando nuevas categorías, contenidos históricos y editoriales, usuarios, valoraciones e integración con servicios musicales externos, manteniendo como eje principal la organización y descubrimiento de información musical.</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spacing w:lineRule="auto" w:line="360" w:before="0" w:after="160"/>
        <w:ind w:hanging="0" w:left="1440"/>
        <w:jc w:val="both"/>
        <w:rPr>
          <w:rFonts w:ascii="Arial" w:hAnsi="Arial" w:eastAsia="Arial" w:cs="Arial"/>
          <w:b/>
          <w:bCs/>
          <w:color w:val="000000"/>
          <w:sz w:val="22"/>
          <w:szCs w:val="22"/>
        </w:rPr>
      </w:pPr>
      <w:bookmarkStart w:id="4" w:name="_heading=h.cc5ml5i525l6"/>
      <w:bookmarkEnd w:id="4"/>
      <w:r>
        <w:rPr>
          <w:rFonts w:eastAsia="Arial" w:cs="Arial" w:ascii="Arial" w:hAnsi="Arial"/>
          <w:b/>
          <w:bCs/>
          <w:color w:val="000000"/>
          <w:sz w:val="22"/>
          <w:szCs w:val="22"/>
        </w:rPr>
        <w:t>Objetivos</w:t>
      </w:r>
      <w:bookmarkStart w:id="5" w:name="_heading=h.7m8ittwtc19x"/>
      <w:bookmarkEnd w:id="5"/>
    </w:p>
    <w:p>
      <w:pPr>
        <w:pStyle w:val="Normal"/>
        <w:numPr>
          <w:ilvl w:val="0"/>
          <w:numId w:val="1"/>
        </w:numPr>
        <w:spacing w:lineRule="auto" w:line="360" w:before="0" w:after="160"/>
        <w:ind w:hanging="0" w:left="1440"/>
        <w:jc w:val="both"/>
        <w:rPr>
          <w:rFonts w:ascii="Arial" w:hAnsi="Arial" w:eastAsia="Arial" w:cs="Arial"/>
          <w:color w:val="000000"/>
          <w:sz w:val="22"/>
          <w:szCs w:val="22"/>
        </w:rPr>
      </w:pPr>
      <w:r>
        <w:rPr>
          <w:rFonts w:eastAsia="Arial" w:cs="Arial" w:ascii="Arial" w:hAnsi="Arial"/>
          <w:b/>
          <w:bCs/>
          <w:color w:val="000000"/>
          <w:sz w:val="22"/>
          <w:szCs w:val="22"/>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Normal"/>
        <w:spacing w:lineRule="auto" w:line="360" w:before="0" w:after="160"/>
        <w:ind w:left="720"/>
        <w:jc w:val="both"/>
        <w:rPr>
          <w:rFonts w:ascii="Arial" w:hAnsi="Arial" w:eastAsia="Cambria" w:cs="Arial" w:eastAsiaTheme="minorHAnsi"/>
          <w:color w:val="FF0000"/>
          <w:sz w:val="22"/>
          <w:szCs w:val="22"/>
          <w:lang w:eastAsia="en-US"/>
        </w:rPr>
      </w:pPr>
      <w:r>
        <w:rPr>
          <w:rFonts w:eastAsia="Cambria" w:cs="Arial" w:ascii="Arial" w:hAnsi="Arial" w:eastAsiaTheme="minorHAnsi"/>
          <w:color w:val="FF0000"/>
          <w:sz w:val="22"/>
          <w:szCs w:val="22"/>
          <w:lang w:eastAsia="en-US"/>
        </w:rPr>
        <w:t>Desarrollar una aplicación web para la gestión de un catálogo musical de bandas y álbumes denominada Melodic Vault, utilizando tecnologías Java Web y una arquitectura basada en el patrón Model-View-Controller, que permita organizar, administrar y consultar información musical mediante una interfaz web.</w:t>
      </w:r>
    </w:p>
    <w:p>
      <w:pPr>
        <w:pStyle w:val="Heading2"/>
        <w:spacing w:before="0" w:after="160"/>
        <w:ind w:hanging="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ind w:firstLine="720"/>
        <w:jc w:val="both"/>
        <w:rPr>
          <w:rFonts w:ascii="Arial" w:hAnsi="Arial" w:eastAsia="Cambria" w:cs="Arial" w:eastAsiaTheme="minorHAnsi"/>
          <w:sz w:val="22"/>
          <w:szCs w:val="22"/>
          <w:lang w:eastAsia="en-US"/>
        </w:rPr>
      </w:pPr>
      <w:bookmarkStart w:id="8" w:name="_heading=h.ckswlhg8yiqa"/>
      <w:bookmarkEnd w:id="8"/>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ind w:firstLine="720"/>
        <w:jc w:val="both"/>
        <w:rPr>
          <w:rFonts w:ascii="Arial" w:hAnsi="Arial" w:eastAsia="Cambria" w:cs="Arial" w:eastAsiaTheme="minorHAnsi"/>
          <w:sz w:val="22"/>
          <w:szCs w:val="22"/>
          <w:lang w:eastAsia="en-US"/>
        </w:rPr>
      </w:pPr>
      <w:bookmarkStart w:id="9" w:name="_heading=h.9uu6d7edxbbv"/>
      <w:bookmarkEnd w:id="9"/>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1" w:name="_heading=h.7v2tfo8dd71j"/>
      <w:bookmarkStart w:id="12" w:name="_heading=h.m8noijhd0mi6"/>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jc w:val="both"/>
        <w:rPr>
          <w:rFonts w:ascii="Arial" w:hAnsi="Arial" w:eastAsia="Arial" w:cs="Arial"/>
          <w:b/>
          <w:bCs/>
          <w:color w:val="000000"/>
          <w:sz w:val="22"/>
          <w:szCs w:val="22"/>
        </w:rPr>
      </w:pPr>
      <w:bookmarkStart w:id="15" w:name="_heading=h.35xa8igpzume"/>
      <w:bookmarkEnd w:id="15"/>
      <w:r>
        <w:rPr>
          <w:rFonts w:eastAsia="Arial" w:cs="Arial" w:ascii="Arial" w:hAnsi="Arial"/>
          <w:b/>
          <w:bCs/>
          <w:sz w:val="22"/>
          <w:szCs w:val="22"/>
        </w:rPr>
        <w:t xml:space="preserve">5. </w:t>
      </w:r>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w:t>
      </w:r>
      <w:r>
        <w:rPr>
          <w:rFonts w:eastAsia="Arial" w:cs="Arial" w:ascii="Arial" w:hAnsi="Arial"/>
          <w:sz w:val="22"/>
          <w:szCs w:val="22"/>
          <w:highlight w:val="yellow"/>
        </w:rPr>
        <w:t>propone</w:t>
      </w:r>
      <w:r>
        <w:rPr>
          <w:rFonts w:eastAsia="Arial" w:cs="Arial" w:ascii="Arial" w:hAnsi="Arial"/>
          <w:sz w:val="22"/>
          <w:szCs w:val="22"/>
        </w:rPr>
        <w:t xml:space="preserve"> utilizar tecnologías web para centralizar esta información y proporcionar mecanismos que permitan administrarla, relacionarla y consultarla de manera organizada. Asimismo, constituye una base tecnológica escalable sobre la cual pueden incorporarse posteriormente nuevas funcionalidades relacionadas con contenido histórico, valoraciones, recomendaciones, artículos especializados e integración con servicios musicales externos.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Melodic Vault </w:t>
      </w:r>
      <w:r>
        <w:rPr>
          <w:rFonts w:eastAsia="Arial" w:cs="Arial" w:ascii="Arial" w:hAnsi="Arial"/>
          <w:sz w:val="22"/>
          <w:szCs w:val="22"/>
          <w:highlight w:val="yellow"/>
        </w:rPr>
        <w:t>será</w:t>
      </w:r>
      <w:r>
        <w:rPr>
          <w:rFonts w:eastAsia="Arial" w:cs="Arial" w:ascii="Arial" w:hAnsi="Arial"/>
          <w:sz w:val="22"/>
          <w:szCs w:val="22"/>
        </w:rPr>
        <w:t xml:space="preserve"> desarrollado utilizando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Spring Data JPA e Hibernate </w:t>
      </w:r>
      <w:r>
        <w:rPr>
          <w:rFonts w:eastAsia="Arial" w:cs="Arial" w:ascii="Arial" w:hAnsi="Arial"/>
          <w:sz w:val="22"/>
          <w:szCs w:val="22"/>
          <w:highlight w:val="yellow"/>
        </w:rPr>
        <w:t>facilitarán</w:t>
      </w:r>
      <w:r>
        <w:rPr>
          <w:rFonts w:eastAsia="Arial" w:cs="Arial" w:ascii="Arial" w:hAnsi="Arial"/>
          <w:sz w:val="22"/>
          <w:szCs w:val="22"/>
        </w:rPr>
        <w:t xml:space="preserve">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w:t>
      </w:r>
      <w:r>
        <w:rPr>
          <w:rFonts w:eastAsia="Arial" w:cs="Arial" w:ascii="Arial" w:hAnsi="Arial"/>
          <w:sz w:val="22"/>
          <w:szCs w:val="22"/>
          <w:highlight w:val="yellow"/>
        </w:rPr>
        <w:t>permitirá</w:t>
      </w:r>
      <w:r>
        <w:rPr>
          <w:rFonts w:eastAsia="Arial" w:cs="Arial" w:ascii="Arial" w:hAnsi="Arial"/>
          <w:sz w:val="22"/>
          <w:szCs w:val="22"/>
        </w:rPr>
        <w:t xml:space="preserve"> generar reportes basados en la información registrada. GitHub será utilizado para el control de versiones del código fuente y GitHub Actions permitirá automatizar procesos asociados a la construcción y despliegue. Finalmente, Microsoft Azure proporcionará el entorno para publicar la aplicación y permitir su acceso desde Internet.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Los beneficiarios directos serán los usuarios que interactúen con Melodic Vault. El administrador podrá gestionar la información registrada en el catálogo, realizar operaciones de mantenimiento y consultar reportes. Por otra parte, los usuarios del sistema podrán consultar y explorar información relacionada con bandas, álbumes y otros contenidos disponibles según los permisos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5.4. Beneficiarios indirectos</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beneficiarios indirectos se consideran aficionados, investigadores, estudiantes y personas interesadas en consultar información musical organizada, quienes </w:t>
      </w:r>
      <w:r>
        <w:rPr>
          <w:rFonts w:eastAsia="Arial" w:cs="Arial" w:ascii="Arial" w:hAnsi="Arial"/>
          <w:color w:val="000000"/>
          <w:sz w:val="22"/>
          <w:szCs w:val="22"/>
          <w:highlight w:val="yellow"/>
        </w:rPr>
        <w:t>podrán</w:t>
      </w:r>
      <w:r>
        <w:rPr>
          <w:rFonts w:eastAsia="Arial" w:cs="Arial" w:ascii="Arial" w:hAnsi="Arial"/>
          <w:color w:val="000000"/>
          <w:sz w:val="22"/>
          <w:szCs w:val="22"/>
        </w:rPr>
        <w:t xml:space="preserve"> beneficiarse de la información registrada sin participar necesariamente en su administración.</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Asimismo, una futura ampliación de Melodic Vault </w:t>
      </w:r>
      <w:r>
        <w:rPr>
          <w:rFonts w:eastAsia="Arial" w:cs="Arial" w:ascii="Arial" w:hAnsi="Arial"/>
          <w:color w:val="000000"/>
          <w:sz w:val="22"/>
          <w:szCs w:val="22"/>
          <w:highlight w:val="yellow"/>
        </w:rPr>
        <w:t>podría</w:t>
      </w:r>
      <w:r>
        <w:rPr>
          <w:rFonts w:eastAsia="Arial" w:cs="Arial" w:ascii="Arial" w:hAnsi="Arial"/>
          <w:color w:val="000000"/>
          <w:sz w:val="22"/>
          <w:szCs w:val="22"/>
        </w:rPr>
        <w:t xml:space="preserve"> beneficiar a comunidades musicales, creadores de contenido o usuarios interesados en géneros específicos al proporcionar un espacio especializado para el descubrimiento y consulta de información musical.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mantendrá una arquitectura basada en Spring Boot y el patrón Model-View-Controller, utilizando una base de datos relacional para garantizar la persistencia y relación de la información.</w:t>
      </w:r>
    </w:p>
    <w:p>
      <w:pPr>
        <w:pStyle w:val="NormalWeb"/>
        <w:spacing w:lineRule="auto" w:line="360" w:before="280" w:after="280"/>
        <w:jc w:val="both"/>
        <w:rPr>
          <w:rFonts w:ascii="Arial" w:hAnsi="Arial" w:cs="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BPMN DEL PROCESO</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AS-IS</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22"/>
                    <a:stretch>
                      <a:fillRect/>
                    </a:stretch>
                  </pic:blipFill>
                  <pic:spPr bwMode="auto">
                    <a:xfrm>
                      <a:off x="0" y="0"/>
                      <a:ext cx="4772025" cy="2371725"/>
                    </a:xfrm>
                    <a:prstGeom prst="rect">
                      <a:avLst/>
                    </a:prstGeom>
                    <a:noFill/>
                  </pic:spPr>
                </pic:pic>
              </a:graphicData>
            </a:graphic>
          </wp:inline>
        </w:drawing>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-BE</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23"/>
                    <a:stretch>
                      <a:fillRect/>
                    </a:stretch>
                  </pic:blipFill>
                  <pic:spPr bwMode="auto">
                    <a:xfrm>
                      <a:off x="0" y="0"/>
                      <a:ext cx="4962525" cy="254317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alcance funcional de Melodic Vault comprenderá:</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los mantenimientos requeridos para las principales entidades del sistema.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bandas mediante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álbumes y asociación de cada álbum con su respectiva banda.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al menos dos consultas especializadas sobre la información almacenada.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un caso de uso transaccional que involucre diferentes entidades del sistema.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Automatización mediante GitHub Actions.</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Despliegue de la aplicación en Microsoft Azure.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consideran las siguientes tecnologías: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TABLA E IONTERPRETACION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se </w:t>
      </w:r>
      <w:r>
        <w:rPr>
          <w:rFonts w:eastAsia="Arial" w:cs="Arial" w:ascii="Arial" w:hAnsi="Arial"/>
          <w:sz w:val="22"/>
          <w:szCs w:val="22"/>
          <w:highlight w:val="yellow"/>
        </w:rPr>
        <w:t>desarrollará</w:t>
      </w:r>
      <w:r>
        <w:rPr>
          <w:rFonts w:eastAsia="Arial" w:cs="Arial" w:ascii="Arial" w:hAnsi="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despliegue estará condicionado por la disponibilidad y restricciones de los servicios utilizados en Microsoft Azure, así como por la correcta configuración del repositorio y flujo de GitHub Actions.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highlight w:val="yellow"/>
        </w:rPr>
        <w:t>Finalmente</w:t>
      </w:r>
      <w:r>
        <w:rPr>
          <w:rFonts w:eastAsia="Arial" w:cs="Arial" w:ascii="Arial" w:hAnsi="Arial"/>
          <w:sz w:val="22"/>
          <w:szCs w:val="22"/>
        </w:rPr>
        <w:t>, la validación se realizará principalmente mediante pruebas funcionales del equipo de desarrollo, por lo que no comprenderá un estudio extensivo de experiencia de usuario con una población amplia.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pPr>
        <w:pStyle w:val="Normal"/>
        <w:spacing w:lineRule="auto" w:line="360" w:before="0" w:after="160"/>
        <w:jc w:val="both"/>
        <w:rPr>
          <w:rFonts w:ascii="Arial" w:hAnsi="Arial" w:eastAsia="Arial" w:cs="Arial"/>
          <w:color w:val="FF0000"/>
          <w:sz w:val="22"/>
          <w:szCs w:val="22"/>
        </w:rPr>
      </w:pPr>
      <w:r>
        <w:rPr>
          <w:rFonts w:eastAsia="Arial" w:cs="Arial" w:ascii="Arial" w:hAnsi="Arial"/>
          <w:color w:val="FF0000"/>
          <w:sz w:val="22"/>
          <w:szCs w:val="22"/>
        </w:rPr>
        <w:t>TABLA E INTERPETACION, PARRAFO PREVIO</w:t>
      </w:r>
    </w:p>
    <w:p>
      <w:pPr>
        <w:pStyle w:val="Normal"/>
        <w:spacing w:lineRule="auto" w:line="360" w:before="0" w:after="160"/>
        <w:jc w:val="both"/>
        <w:rPr>
          <w:rFonts w:ascii="Arial" w:hAnsi="Arial" w:eastAsia="Arial" w:cs="Arial"/>
          <w:b/>
          <w:bCs/>
          <w:color w:val="000000"/>
          <w:sz w:val="22"/>
          <w:szCs w:val="22"/>
        </w:rPr>
      </w:pPr>
      <w:bookmarkStart w:id="17" w:name="_heading=h.uo2m7h2r32yq"/>
      <w:bookmarkEnd w:id="17"/>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PORQUE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CUANTOS SPRINT</w:t>
      </w:r>
    </w:p>
    <w:p>
      <w:pPr>
        <w:pStyle w:val="Normal"/>
        <w:spacing w:lineRule="auto" w:line="360" w:before="0" w:after="160"/>
        <w:jc w:val="both"/>
        <w:rPr>
          <w:rFonts w:ascii="Arial" w:hAnsi="Arial" w:eastAsia="Arial" w:cs="Arial"/>
          <w:sz w:val="22"/>
          <w:szCs w:val="22"/>
        </w:rPr>
      </w:pPr>
      <w:r>
        <w:rP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24"/>
                    <a:stretch>
                      <a:fillRect/>
                    </a:stretch>
                  </pic:blipFill>
                  <pic:spPr bwMode="auto">
                    <a:xfrm>
                      <a:off x="0" y="0"/>
                      <a:ext cx="5019675" cy="1714500"/>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JIRA TRELLO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PLANNING POKER</w:t>
      </w:r>
    </w:p>
    <w:p>
      <w:pPr>
        <w:pStyle w:val="Normal"/>
        <w:spacing w:lineRule="auto" w:line="360" w:before="0" w:after="160"/>
        <w:jc w:val="both"/>
        <w:rPr>
          <w:rFonts w:ascii="Arial" w:hAnsi="Arial" w:eastAsia="Arial" w:cs="Arial"/>
          <w:sz w:val="22"/>
          <w:szCs w:val="22"/>
        </w:rPr>
      </w:pPr>
      <w:r>
        <w:rP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25"/>
                    <a:stretch>
                      <a:fillRect/>
                    </a:stretch>
                  </pic:blipFill>
                  <pic:spPr bwMode="auto">
                    <a:xfrm>
                      <a:off x="0" y="0"/>
                      <a:ext cx="5759450" cy="493204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Distribución de roles del equipo de trabajo</w:t>
      </w:r>
    </w:p>
    <w:tbl>
      <w:tblPr>
        <w:tblStyle w:val="ae"/>
        <w:tblW w:w="9053"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107"/>
        <w:gridCol w:w="1587"/>
        <w:gridCol w:w="3955"/>
        <w:gridCol w:w="2404"/>
      </w:tblGrid>
      <w:tr>
        <w:trPr>
          <w:trHeight w:val="288" w:hRule="atLeast"/>
        </w:trPr>
        <w:tc>
          <w:tcPr>
            <w:tcW w:w="110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Integrante</w:t>
            </w:r>
          </w:p>
        </w:tc>
        <w:tc>
          <w:tcPr>
            <w:tcW w:w="158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Rol asignado</w:t>
            </w:r>
          </w:p>
        </w:tc>
        <w:tc>
          <w:tcPr>
            <w:tcW w:w="3955"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Responsabilidades principales</w:t>
            </w:r>
          </w:p>
        </w:tc>
        <w:tc>
          <w:tcPr>
            <w:tcW w:w="2404"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de participación</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1</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Coordinador</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Organiza avances, comunica acuerdos y valida entregables.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Actas, commits o capturas.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2</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Backend  / Base de Datos</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Implementar entidades, relaciones JPA, repositorios, servicios, controladore.</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código fuente, modelo de datos.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3</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Frontend</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 módulos, controladores, vistas y persistencia.</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o capturas del código.</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4</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Responsable de despliegue</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Gestiona GitHub, Azure y GitHub Actions.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URL, workflow o capturas.</w:t>
            </w:r>
          </w:p>
        </w:tc>
      </w:tr>
    </w:tbl>
    <w:p>
      <w:pPr>
        <w:pStyle w:val="Heading2"/>
        <w:spacing w:before="0" w:after="160"/>
        <w:ind w:hanging="0" w:left="0"/>
        <w:rPr>
          <w:rFonts w:ascii="Arial" w:hAnsi="Arial" w:eastAsia="Arial" w:cs="Arial"/>
          <w:b/>
          <w:bCs/>
          <w:color w:val="000000"/>
          <w:sz w:val="22"/>
          <w:szCs w:val="22"/>
        </w:rPr>
      </w:pPr>
      <w:bookmarkStart w:id="19" w:name="_heading=h.o242smz8its6"/>
      <w:bookmarkStart w:id="20" w:name="_heading=h.ukzbhajgfe8u"/>
      <w:bookmarkEnd w:id="19"/>
      <w:bookmarkEnd w:id="20"/>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xml:space="preserve"> usuario autenticado con permisos principalmente de consulta. Podrá acceder al catálogo, realizar búsquedas y consultar información detallada de bandas, álbumes y otros datos disponibles.</w:t>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funcionales.</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br/>
        <w:t xml:space="preserve">En la Tabla se presentan los </w:t>
      </w:r>
      <w:r>
        <w:rPr>
          <w:rFonts w:eastAsia="Arial" w:cs="Arial" w:ascii="Arial" w:hAnsi="Arial"/>
          <w:b/>
          <w:bCs/>
          <w:i/>
          <w:iCs/>
          <w:sz w:val="22"/>
          <w:szCs w:val="22"/>
          <w:u w:val="single"/>
        </w:rPr>
        <w:t>requerimientos funcionales</w:t>
      </w:r>
      <w:r>
        <w:rPr>
          <w:rFonts w:eastAsia="Arial" w:cs="Arial" w:ascii="Arial" w:hAnsi="Arial"/>
          <w:i/>
          <w:iCs/>
          <w:sz w:val="22"/>
          <w:szCs w:val="22"/>
        </w:rPr>
        <w:t xml:space="preserve"> de Melodic Vault. Cada requerimiento se </w:t>
      </w:r>
      <w:r>
        <w:rPr>
          <w:rFonts w:eastAsia="Arial" w:cs="Arial" w:ascii="Arial" w:hAnsi="Arial"/>
          <w:b/>
          <w:bCs/>
          <w:i/>
          <w:iCs/>
          <w:sz w:val="22"/>
          <w:szCs w:val="22"/>
          <w:u w:val="single"/>
        </w:rPr>
        <w:t>identificó con un código</w:t>
      </w:r>
      <w:r>
        <w:rPr>
          <w:rFonts w:eastAsia="Arial" w:cs="Arial" w:ascii="Arial" w:hAnsi="Arial"/>
          <w:i/>
          <w:iCs/>
          <w:sz w:val="22"/>
          <w:szCs w:val="22"/>
        </w:rPr>
        <w:t xml:space="preserve">, se </w:t>
      </w:r>
      <w:r>
        <w:rPr>
          <w:rFonts w:eastAsia="Arial" w:cs="Arial" w:ascii="Arial" w:hAnsi="Arial"/>
          <w:b/>
          <w:bCs/>
          <w:i/>
          <w:iCs/>
          <w:sz w:val="22"/>
          <w:szCs w:val="22"/>
          <w:u w:val="single"/>
        </w:rPr>
        <w:t>asoció al actor que lo ejecutó</w:t>
      </w:r>
      <w:r>
        <w:rPr>
          <w:rFonts w:eastAsia="Arial" w:cs="Arial" w:ascii="Arial" w:hAnsi="Arial"/>
          <w:i/>
          <w:iCs/>
          <w:sz w:val="22"/>
          <w:szCs w:val="22"/>
        </w:rPr>
        <w:t xml:space="preserve"> (Visitante, Usuario o Administrador) y </w:t>
      </w:r>
      <w:r>
        <w:rPr>
          <w:rFonts w:eastAsia="Arial" w:cs="Arial" w:ascii="Arial" w:hAnsi="Arial"/>
          <w:b/>
          <w:bCs/>
          <w:i/>
          <w:iCs/>
          <w:sz w:val="22"/>
          <w:szCs w:val="22"/>
          <w:u w:val="single"/>
        </w:rPr>
        <w:t>se clasificó según su prioridad para el funcionamiento del sistema.</w:t>
      </w:r>
      <w:r>
        <w:rPr>
          <w:rFonts w:eastAsia="Arial" w:cs="Arial" w:ascii="Arial" w:hAnsi="Arial"/>
          <w:i/>
          <w:iCs/>
          <w:sz w:val="22"/>
          <w:szCs w:val="22"/>
        </w:rPr>
        <w:br/>
      </w:r>
    </w:p>
    <w:tbl>
      <w:tblPr>
        <w:tblW w:w="5000" w:type="pct"/>
        <w:jc w:val="left"/>
        <w:tblInd w:w="0" w:type="dxa"/>
        <w:tblLayout w:type="fixed"/>
        <w:tblCellMar>
          <w:top w:w="0" w:type="dxa"/>
          <w:left w:w="0" w:type="dxa"/>
          <w:bottom w:w="0" w:type="dxa"/>
          <w:right w:w="0" w:type="dxa"/>
        </w:tblCellMar>
      </w:tblPr>
      <w:tblGrid>
        <w:gridCol w:w="2267"/>
        <w:gridCol w:w="2267"/>
        <w:gridCol w:w="2268"/>
        <w:gridCol w:w="2268"/>
      </w:tblGrid>
      <w:tr>
        <w:trPr/>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funcional</w:t>
            </w:r>
          </w:p>
        </w:tc>
        <w:tc>
          <w:tcPr>
            <w:tcW w:w="2268"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Actor</w:t>
            </w:r>
          </w:p>
        </w:tc>
        <w:tc>
          <w:tcPr>
            <w:tcW w:w="2268"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Prioridad</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iniciar sesión con usuario y contraseña, con opción de cancelar y volver al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cerrar sesión y volver a la página de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RF-03</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restringe los mantenimientos al rol Administrador y ocultó los botones de registrar, editar y eliminar a quienes no tenían ese rol.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las bandas con sus datos principales.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buscar bandas por nombre, país o género.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el detalle de una banda con sus datos, su biografía y su discografía (álbumes con año, tipo y rating), con opción de volver al catálogo.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RF-07</w:t>
            </w:r>
          </w:p>
        </w:tc>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El sistema permite registrar, editar y eliminar bandas.</w:t>
            </w:r>
          </w:p>
        </w:tc>
        <w:tc>
          <w:tcPr>
            <w:tcW w:w="2268"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álbumes y permite buscarlos por título, tipo o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RF-09</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el detalle de un álbum, con acceso a su banda y opción de volver.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RF-10</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editar y eliminar álbumes asociados a una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las canciones registradas.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editar y eliminar canciones asociadas a un álbum.</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RF-13</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un álbum con sus canciones (hasta 5 por formulario) en una sola operación transaccional.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en la página de inicio las bandas y los álbumes destacados.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indicadores generales: total de bandas, álbumes, países y géneros.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estadísticas por banda: cantidad de álbumes y rating promedio.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RF-17</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la página "Acerca de" con la información del proyecto.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Baja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un menú de navegación (Inicio, Bandas, Álbumes, Canciones, Acerca de) que cambió según la sesión: "Iniciar sesión" sin sesión y "Salir (usuario)" con sesión.</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bl>
    <w:p>
      <w:pPr>
        <w:pStyle w:val="Normal"/>
        <w:spacing w:lineRule="auto" w:line="360" w:before="0" w:after="160"/>
        <w:rPr>
          <w:rFonts w:ascii="Arial" w:hAnsi="Arial" w:eastAsia="Arial" w:cs="Arial"/>
          <w:b w:val="false"/>
          <w:bCs w:val="false"/>
          <w:i/>
          <w:iCs/>
          <w:sz w:val="22"/>
          <w:szCs w:val="22"/>
        </w:rPr>
      </w:pPr>
      <w:r>
        <w:rPr>
          <w:rFonts w:eastAsia="Arial" w:cs="Arial" w:ascii="Arial" w:hAnsi="Arial"/>
          <w:b w:val="false"/>
          <w:bCs w:val="false"/>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se observa que el sistema cubrió </w:t>
      </w:r>
      <w:r>
        <w:rPr>
          <w:rFonts w:eastAsia="Arial" w:cs="Arial" w:ascii="Arial" w:hAnsi="Arial"/>
          <w:b/>
          <w:bCs/>
          <w:sz w:val="22"/>
          <w:szCs w:val="22"/>
          <w:u w:val="single"/>
        </w:rPr>
        <w:t>18 requerimientos funcionales</w:t>
      </w:r>
      <w:r>
        <w:rPr>
          <w:rFonts w:eastAsia="Arial" w:cs="Arial" w:ascii="Arial" w:hAnsi="Arial"/>
          <w:sz w:val="22"/>
          <w:szCs w:val="22"/>
        </w:rPr>
        <w:t xml:space="preserve">. De ellos, </w:t>
      </w:r>
      <w:r>
        <w:rPr>
          <w:rFonts w:eastAsia="Arial" w:cs="Arial" w:ascii="Arial" w:hAnsi="Arial"/>
          <w:b/>
          <w:bCs/>
          <w:i/>
          <w:iCs/>
          <w:sz w:val="22"/>
          <w:szCs w:val="22"/>
        </w:rPr>
        <w:t xml:space="preserve">12 estuvieron disponibles sin sesión iniciada </w:t>
      </w:r>
      <w:r>
        <w:rPr>
          <w:rFonts w:eastAsia="Arial" w:cs="Arial" w:ascii="Arial" w:hAnsi="Arial"/>
          <w:sz w:val="22"/>
          <w:szCs w:val="22"/>
        </w:rPr>
        <w:t xml:space="preserve">: 11 de consulta, abiertos a los tres actores, y el inicio de sesión, que ejecuto el Visitante. </w:t>
      </w:r>
      <w:r>
        <w:rPr>
          <w:rFonts w:eastAsia="Arial" w:cs="Arial" w:ascii="Arial" w:hAnsi="Arial"/>
          <w:b/>
          <w:bCs/>
          <w:sz w:val="22"/>
          <w:szCs w:val="22"/>
        </w:rPr>
        <w:t>Uno requirió una sesión activa ( cerrar sesión )</w:t>
      </w:r>
      <w:r>
        <w:rPr>
          <w:rFonts w:eastAsia="Arial" w:cs="Arial" w:ascii="Arial" w:hAnsi="Arial"/>
          <w:sz w:val="22"/>
          <w:szCs w:val="22"/>
        </w:rPr>
        <w:t xml:space="preserve"> y </w:t>
      </w:r>
      <w:r>
        <w:rPr>
          <w:rFonts w:eastAsia="Arial" w:cs="Arial" w:ascii="Arial" w:hAnsi="Arial"/>
          <w:b/>
          <w:bCs/>
          <w:sz w:val="22"/>
          <w:szCs w:val="22"/>
        </w:rPr>
        <w:t>5 se reservaron al Administrador ( control de acceso, y registro, edición y eliminación de bandas álbumes, canciones, ademas del registro transaccional de un álbum con sus canciones)</w:t>
      </w:r>
      <w:r>
        <w:rPr>
          <w:rFonts w:eastAsia="Arial" w:cs="Arial" w:ascii="Arial" w:hAnsi="Arial"/>
          <w:sz w:val="22"/>
          <w:szCs w:val="22"/>
        </w:rPr>
        <w:t>. Esta distribución evidencia que</w:t>
      </w:r>
      <w:r>
        <w:rPr>
          <w:rFonts w:eastAsia="Arial" w:cs="Arial" w:ascii="Arial" w:hAnsi="Arial"/>
          <w:b/>
          <w:bCs/>
          <w:sz w:val="22"/>
          <w:szCs w:val="22"/>
          <w:u w:val="single"/>
        </w:rPr>
        <w:t xml:space="preserve"> la consulta del catálogo fue abierta y que las operaciones que modifican la  información quedaron restringidas por rol.</w:t>
      </w:r>
      <w:r>
        <w:rPr>
          <w:rFonts w:eastAsia="Arial" w:cs="Arial" w:ascii="Arial" w:hAnsi="Arial"/>
          <w:sz w:val="22"/>
          <w:szCs w:val="22"/>
        </w:rPr>
        <w:t xml:space="preserve"> Respecto a la prioridad, 10 requerimientos fueron prioridad alta, 7 media y 1 baja, y se concentraron en la autenticación, los mantenimientos y las consultas principales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no funcionales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osea, las características que condicionaron el funcionamiento mas allá de sus funciones.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Cada requerimiento se identificó con un código y se agrupo por categoría : seguridad, integridad, usabilidad, inteligibilidad y portabilidad</w:t>
      </w:r>
    </w:p>
    <w:tbl>
      <w:tblPr>
        <w:tblW w:w="5000" w:type="pct"/>
        <w:jc w:val="left"/>
        <w:tblInd w:w="0" w:type="dxa"/>
        <w:tblLayout w:type="fixed"/>
        <w:tblCellMar>
          <w:top w:w="0" w:type="dxa"/>
          <w:left w:w="0" w:type="dxa"/>
          <w:bottom w:w="0" w:type="dxa"/>
          <w:right w:w="0" w:type="dxa"/>
        </w:tblCellMar>
      </w:tblPr>
      <w:tblGrid>
        <w:gridCol w:w="3023"/>
        <w:gridCol w:w="3023"/>
        <w:gridCol w:w="3024"/>
      </w:tblGrid>
      <w:tr>
        <w:trPr/>
        <w:tc>
          <w:tcPr>
            <w:tcW w:w="3023"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3023"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Categoria</w:t>
            </w:r>
          </w:p>
        </w:tc>
        <w:tc>
          <w:tcPr>
            <w:tcW w:w="3024"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no funcional</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RNF-01</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RNF-02</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RNF-03</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ante cualquier error.</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RNF-04</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Integridad de datos</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RNF-05</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Usabilidad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RNF-06</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Mantenibilidad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RNF-07</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Portabilidad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podemos ver que el sistema contempló </w:t>
      </w:r>
      <w:r>
        <w:rPr>
          <w:rFonts w:eastAsia="Arial" w:cs="Arial" w:ascii="Arial" w:hAnsi="Arial"/>
          <w:b/>
          <w:bCs/>
          <w:i/>
          <w:iCs/>
          <w:sz w:val="22"/>
          <w:szCs w:val="22"/>
          <w:u w:val="single"/>
          <w:shd w:fill="auto" w:val="clear"/>
        </w:rPr>
        <w:t>7 requerimientos no funcionales</w:t>
      </w:r>
      <w:r>
        <w:rPr>
          <w:rFonts w:eastAsia="Arial" w:cs="Arial" w:ascii="Arial" w:hAnsi="Arial"/>
          <w:sz w:val="22"/>
          <w:szCs w:val="22"/>
        </w:rPr>
        <w:t>.</w:t>
      </w:r>
      <w:r>
        <w:rPr>
          <w:rFonts w:eastAsia="Arial" w:cs="Arial" w:ascii="Arial" w:hAnsi="Arial"/>
          <w:b/>
          <w:bCs/>
          <w:sz w:val="22"/>
          <w:szCs w:val="22"/>
        </w:rPr>
        <w:t xml:space="preserve"> Cuatro se relacionan con seguridad  y la integridad de la informació</w:t>
      </w:r>
      <w:r>
        <w:rPr>
          <w:rFonts w:eastAsia="Arial" w:cs="Arial" w:ascii="Arial" w:hAnsi="Arial"/>
          <w:sz w:val="22"/>
          <w:szCs w:val="22"/>
        </w:rPr>
        <w:t>n : almacenamiento en contraseñas con hash Bcrypt, control de acceso por roles, transacciones con rollback y validación de los datos ingresados.</w:t>
      </w:r>
      <w:r>
        <w:rPr>
          <w:rFonts w:eastAsia="Arial" w:cs="Arial" w:ascii="Arial" w:hAnsi="Arial"/>
          <w:b/>
          <w:bCs/>
          <w:sz w:val="22"/>
          <w:szCs w:val="22"/>
        </w:rPr>
        <w:t xml:space="preserve"> Los tres restante abracaron la usabilidad</w:t>
      </w:r>
      <w:r>
        <w:rPr>
          <w:rFonts w:eastAsia="Arial" w:cs="Arial" w:ascii="Arial" w:hAnsi="Arial"/>
          <w:sz w:val="22"/>
          <w:szCs w:val="22"/>
        </w:rPr>
        <w:t xml:space="preserve">, mediante una interfaz con Bootstrap y mensajes de confirmacion o error; </w:t>
      </w:r>
      <w:r>
        <w:rPr>
          <w:rFonts w:eastAsia="Arial" w:cs="Arial" w:ascii="Arial" w:hAnsi="Arial"/>
          <w:b/>
          <w:bCs/>
          <w:sz w:val="22"/>
          <w:szCs w:val="22"/>
        </w:rPr>
        <w:t>la sostenibilidad</w:t>
      </w:r>
      <w:r>
        <w:rPr>
          <w:rFonts w:eastAsia="Arial" w:cs="Arial" w:ascii="Arial" w:hAnsi="Arial"/>
          <w:sz w:val="22"/>
          <w:szCs w:val="22"/>
        </w:rPr>
        <w:t xml:space="preserve"> mediante una arquitectura MVC por capas en paquetes separados; </w:t>
      </w:r>
      <w:r>
        <w:rPr>
          <w:rFonts w:eastAsia="Arial" w:cs="Arial" w:ascii="Arial" w:hAnsi="Arial"/>
          <w:b/>
          <w:bCs/>
          <w:sz w:val="22"/>
          <w:szCs w:val="22"/>
        </w:rPr>
        <w:t>y la portabilidad</w:t>
      </w:r>
      <w:r>
        <w:rPr>
          <w:rFonts w:eastAsia="Arial" w:cs="Arial" w:ascii="Arial" w:hAnsi="Arial"/>
          <w:sz w:val="22"/>
          <w:szCs w:val="22"/>
        </w:rPr>
        <w:t xml:space="preserve">, mediante la construcción con Maven. Esto evidencia que el diseño priorizó proteger la información del catalogo y mantener una estructura ordenada que facilite su ampliación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Diagrama general de casos de uso.</w:t>
      </w:r>
    </w:p>
    <w:p>
      <w:pPr>
        <w:pStyle w:val="Normal"/>
        <w:spacing w:lineRule="auto" w:line="360" w:before="0" w:after="160"/>
        <w:ind w:firstLine="720"/>
        <w:jc w:val="both"/>
        <w:rPr>
          <w:rFonts w:ascii="Arial" w:hAnsi="Arial" w:eastAsia="Arial" w:cs="Arial"/>
          <w:sz w:val="22"/>
          <w:szCs w:val="22"/>
        </w:rPr>
      </w:pPr>
      <w:r>
        <w:rPr/>
        <w:drawing>
          <wp:inline distT="0" distB="0" distL="0" distR="0">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26"/>
                    <a:stretch>
                      <a:fillRect/>
                    </a:stretch>
                  </pic:blipFill>
                  <pic:spPr bwMode="auto">
                    <a:xfrm>
                      <a:off x="0" y="0"/>
                      <a:ext cx="4184015" cy="364807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INTERPRETACION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CU-09 Registrar resultado del partido</w:t>
      </w:r>
    </w:p>
    <w:tbl>
      <w:tblPr>
        <w:tblStyle w:val="Tablaconcuadrcula5oscura-nfasis1"/>
        <w:tblW w:w="8340" w:type="dxa"/>
        <w:jc w:val="left"/>
        <w:tblInd w:w="843" w:type="dxa"/>
        <w:shd w:fill="DBE5F1" w:val="clear"/>
        <w:tblLayout w:type="fixed"/>
        <w:tblCellMar>
          <w:top w:w="0" w:type="dxa"/>
          <w:left w:w="108" w:type="dxa"/>
          <w:bottom w:w="0" w:type="dxa"/>
          <w:right w:w="108" w:type="dxa"/>
        </w:tblCellMar>
        <w:tblLook w:val="06a0" w:noHBand="1" w:noVBand="1" w:firstColumn="1" w:lastRow="0" w:lastColumn="0" w:firstRow="1"/>
      </w:tblPr>
      <w:tblGrid>
        <w:gridCol w:w="2219"/>
        <w:gridCol w:w="612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19"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Campo</w:t>
            </w:r>
          </w:p>
        </w:tc>
        <w:tc>
          <w:tcPr>
            <w:tcW w:w="6121" w:type="dxa"/>
            <w:tcBorders>
              <w:bottom w:val="nil"/>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b/>
                <w:bCs/>
                <w:color w:themeColor="background1" w:val="FFFFFF"/>
                <w:kern w:val="0"/>
                <w:sz w:val="20"/>
                <w:szCs w:val="20"/>
                <w:lang w:val="es-PE" w:eastAsia="en-US" w:bidi="ar-SA"/>
              </w:rPr>
              <w:t>Contenido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Código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CU-09</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Nombre</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Registrar resultado del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Actor</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Encargado de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Descripción</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Permite registrar en una sola operación la alineación, los goles y las tarjetas de un partido. El sistema actualiza el partido, genera las suspensiones que correspondan y, si la jornada queda completa, genera la tabla de posiciones.</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Precondiciones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inició sesión con rol Encargado de partido. 2. El partido existe en el fixture y su estado es "Programado". 3. Los dos equipos tienen jugadores inscritos en el torneo.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 básico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selecciona la jornada y el partido.</w:t>
            </w:r>
            <w:r>
              <w:rPr>
                <w:rFonts w:eastAsia="Cambria" w:cs=""/>
                <w:kern w:val="0"/>
                <w:sz w:val="24"/>
                <w:szCs w:val="24"/>
                <w:lang w:val="es-PE" w:eastAsia="en-US" w:bidi="ar-SA"/>
              </w:rPr>
              <w:br/>
            </w:r>
            <w:r>
              <w:rPr>
                <w:rFonts w:eastAsia="Arial" w:cs="Arial" w:ascii="Arial" w:hAnsi="Arial"/>
                <w:kern w:val="0"/>
                <w:sz w:val="20"/>
                <w:szCs w:val="20"/>
                <w:lang w:val="es-PE" w:eastAsia="en-US" w:bidi="ar-SA"/>
              </w:rPr>
              <w:t>2. El sistema muestra los dos equipos con sus jugadores inscritos, marcando como no disponibles a los que cumplen una suspensión.</w:t>
            </w:r>
            <w:r>
              <w:rPr>
                <w:rFonts w:eastAsia="Cambria" w:cs=""/>
                <w:kern w:val="0"/>
                <w:sz w:val="24"/>
                <w:szCs w:val="24"/>
                <w:lang w:val="es-PE" w:eastAsia="en-US" w:bidi="ar-SA"/>
              </w:rPr>
              <w:br/>
            </w:r>
            <w:r>
              <w:rPr>
                <w:rFonts w:eastAsia="Arial" w:cs="Arial" w:ascii="Arial" w:hAnsi="Arial"/>
                <w:kern w:val="0"/>
                <w:sz w:val="20"/>
                <w:szCs w:val="20"/>
                <w:lang w:val="es-PE" w:eastAsia="en-US" w:bidi="ar-SA"/>
              </w:rPr>
              <w:t>3. El encargado marca titulares y suplentes de cada equipo y registra sus minutos jugados.</w:t>
            </w:r>
            <w:r>
              <w:rPr>
                <w:rFonts w:eastAsia="Cambria" w:cs=""/>
                <w:kern w:val="0"/>
                <w:sz w:val="24"/>
                <w:szCs w:val="24"/>
                <w:lang w:val="es-PE" w:eastAsia="en-US" w:bidi="ar-SA"/>
              </w:rPr>
              <w:br/>
            </w:r>
            <w:r>
              <w:rPr>
                <w:rFonts w:eastAsia="Arial" w:cs="Arial" w:ascii="Arial" w:hAnsi="Arial"/>
                <w:kern w:val="0"/>
                <w:sz w:val="20"/>
                <w:szCs w:val="20"/>
                <w:lang w:val="es-PE" w:eastAsia="en-US" w:bidi="ar-SA"/>
              </w:rPr>
              <w:t>4. El encargado registra cada gol: jugador y minuto.</w:t>
            </w:r>
            <w:r>
              <w:rPr>
                <w:rFonts w:eastAsia="Cambria" w:cs=""/>
                <w:kern w:val="0"/>
                <w:sz w:val="24"/>
                <w:szCs w:val="24"/>
                <w:lang w:val="es-PE" w:eastAsia="en-US" w:bidi="ar-SA"/>
              </w:rPr>
              <w:br/>
            </w:r>
            <w:r>
              <w:rPr>
                <w:rFonts w:eastAsia="Arial" w:cs="Arial" w:ascii="Arial" w:hAnsi="Arial"/>
                <w:kern w:val="0"/>
                <w:sz w:val="20"/>
                <w:szCs w:val="20"/>
                <w:lang w:val="es-PE" w:eastAsia="en-US" w:bidi="ar-SA"/>
              </w:rPr>
              <w:t>5. El encargado registra cada tarjeta: jugador, tipo (amarilla o roja) y minuto.</w:t>
            </w:r>
            <w:r>
              <w:rPr>
                <w:rFonts w:eastAsia="Cambria" w:cs=""/>
                <w:kern w:val="0"/>
                <w:sz w:val="24"/>
                <w:szCs w:val="24"/>
                <w:lang w:val="es-PE" w:eastAsia="en-US" w:bidi="ar-SA"/>
              </w:rPr>
              <w:br/>
            </w:r>
            <w:r>
              <w:rPr>
                <w:rFonts w:eastAsia="Arial" w:cs="Arial" w:ascii="Arial" w:hAnsi="Arial"/>
                <w:kern w:val="0"/>
                <w:sz w:val="20"/>
                <w:szCs w:val="20"/>
                <w:lang w:val="es-PE" w:eastAsia="en-US" w:bidi="ar-SA"/>
              </w:rPr>
              <w:t>6. El encargado presiona "Finalizar partido".</w:t>
            </w:r>
            <w:r>
              <w:rPr>
                <w:rFonts w:eastAsia="Cambria" w:cs=""/>
                <w:kern w:val="0"/>
                <w:sz w:val="24"/>
                <w:szCs w:val="24"/>
                <w:lang w:val="es-PE" w:eastAsia="en-US" w:bidi="ar-SA"/>
              </w:rPr>
              <w:br/>
            </w:r>
            <w:r>
              <w:rPr>
                <w:rFonts w:eastAsia="Arial" w:cs="Arial" w:ascii="Arial" w:hAnsi="Arial"/>
                <w:kern w:val="0"/>
                <w:sz w:val="20"/>
                <w:szCs w:val="20"/>
                <w:lang w:val="es-PE" w:eastAsia="en-US" w:bidi="ar-SA"/>
              </w:rPr>
              <w:t>7. El sistema valida los datos (FA-1, FA-2, FA-3).</w:t>
            </w:r>
            <w:r>
              <w:rPr>
                <w:rFonts w:eastAsia="Cambria" w:cs=""/>
                <w:kern w:val="0"/>
                <w:sz w:val="24"/>
                <w:szCs w:val="24"/>
                <w:lang w:val="es-PE" w:eastAsia="en-US" w:bidi="ar-SA"/>
              </w:rPr>
              <w:br/>
            </w:r>
            <w:r>
              <w:rPr>
                <w:rFonts w:eastAsia="Arial" w:cs="Arial" w:ascii="Arial" w:hAnsi="Arial"/>
                <w:kern w:val="0"/>
                <w:sz w:val="20"/>
                <w:szCs w:val="20"/>
                <w:lang w:val="es-PE" w:eastAsia="en-US" w:bidi="ar-SA"/>
              </w:rPr>
              <w:t>8. El sistema inicia la transacción y guarda los registros de ParticipacionJugadorPartido, Gol y Tarjeta.</w:t>
            </w:r>
            <w:r>
              <w:rPr>
                <w:rFonts w:eastAsia="Cambria" w:cs=""/>
                <w:kern w:val="0"/>
                <w:sz w:val="24"/>
                <w:szCs w:val="24"/>
                <w:lang w:val="es-PE" w:eastAsia="en-US" w:bidi="ar-SA"/>
              </w:rPr>
              <w:br/>
            </w:r>
            <w:r>
              <w:rPr>
                <w:rFonts w:eastAsia="Arial" w:cs="Arial" w:ascii="Arial" w:hAnsi="Arial"/>
                <w:kern w:val="0"/>
                <w:sz w:val="20"/>
                <w:szCs w:val="20"/>
                <w:lang w:val="es-PE" w:eastAsia="en-US" w:bidi="ar-SA"/>
              </w:rPr>
              <w:t>9. El sistema calcula el marcador a partir de los goles y cambia el estado del partido a "Finalizado".</w:t>
            </w:r>
            <w:r>
              <w:rPr>
                <w:rFonts w:eastAsia="Cambria" w:cs=""/>
                <w:kern w:val="0"/>
                <w:sz w:val="24"/>
                <w:szCs w:val="24"/>
                <w:lang w:val="es-PE" w:eastAsia="en-US" w:bidi="ar-SA"/>
              </w:rPr>
              <w:br/>
            </w:r>
            <w:r>
              <w:rPr>
                <w:rFonts w:eastAsia="Arial" w:cs="Arial" w:ascii="Arial" w:hAnsi="Arial"/>
                <w:kern w:val="0"/>
                <w:sz w:val="20"/>
                <w:szCs w:val="20"/>
                <w:lang w:val="es-PE" w:eastAsia="en-US" w:bidi="ar-SA"/>
              </w:rPr>
              <w:t>10. El sistema revisa las tarjetas de cada jugador en el torneo (FA-4).</w:t>
            </w:r>
            <w:r>
              <w:rPr>
                <w:rFonts w:eastAsia="Cambria" w:cs=""/>
                <w:kern w:val="0"/>
                <w:sz w:val="24"/>
                <w:szCs w:val="24"/>
                <w:lang w:val="es-PE" w:eastAsia="en-US" w:bidi="ar-SA"/>
              </w:rPr>
              <w:br/>
            </w:r>
            <w:r>
              <w:rPr>
                <w:rFonts w:eastAsia="Arial" w:cs="Arial" w:ascii="Arial" w:hAnsi="Arial"/>
                <w:kern w:val="0"/>
                <w:sz w:val="20"/>
                <w:szCs w:val="20"/>
                <w:lang w:val="es-PE" w:eastAsia="en-US" w:bidi="ar-SA"/>
              </w:rPr>
              <w:t>11. El sistema verifica si todos los partidos de la jornada están finalizados (FA-5).</w:t>
            </w:r>
            <w:r>
              <w:rPr>
                <w:rFonts w:eastAsia="Cambria" w:cs=""/>
                <w:kern w:val="0"/>
                <w:sz w:val="24"/>
                <w:szCs w:val="24"/>
                <w:lang w:val="es-PE" w:eastAsia="en-US" w:bidi="ar-SA"/>
              </w:rPr>
              <w:br/>
            </w:r>
            <w:r>
              <w:rPr>
                <w:rFonts w:eastAsia="Arial" w:cs="Arial" w:ascii="Arial" w:hAnsi="Arial"/>
                <w:kern w:val="0"/>
                <w:sz w:val="20"/>
                <w:szCs w:val="20"/>
                <w:lang w:val="es-PE" w:eastAsia="en-US" w:bidi="ar-SA"/>
              </w:rPr>
              <w:t>12. El sistema confirma la transacción y muestra "Resultado registrado correctamente".</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Flujos alternativos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FA-1 Jugador suspendido: si en el paso 3 se intenta alinear a un jugador suspendido, el sistema lo bloquea y muestra "El jugador cumple suspensión hasta la jornada X".</w:t>
            </w:r>
            <w:r>
              <w:rPr>
                <w:rFonts w:eastAsia="Cambria" w:cs=""/>
                <w:kern w:val="0"/>
                <w:sz w:val="24"/>
                <w:szCs w:val="24"/>
                <w:lang w:val="es-PE" w:eastAsia="en-US" w:bidi="ar-SA"/>
              </w:rPr>
              <w:br/>
            </w:r>
            <w:r>
              <w:rPr>
                <w:rFonts w:eastAsia="Arial" w:cs="Arial" w:ascii="Arial" w:hAnsi="Arial"/>
                <w:kern w:val="0"/>
                <w:sz w:val="20"/>
                <w:szCs w:val="20"/>
                <w:lang w:val="es-PE" w:eastAsia="en-US" w:bidi="ar-SA"/>
              </w:rPr>
              <w:t>FA-2 Gol o tarjeta de un jugador que no jugó: el sistema rechaza el registro, porque solo pueden anotar o recibir tarjeta los jugadores alineados.</w:t>
            </w:r>
            <w:r>
              <w:rPr>
                <w:rFonts w:eastAsia="Cambria" w:cs=""/>
                <w:kern w:val="0"/>
                <w:sz w:val="24"/>
                <w:szCs w:val="24"/>
                <w:lang w:val="es-PE" w:eastAsia="en-US" w:bidi="ar-SA"/>
              </w:rPr>
              <w:br/>
            </w:r>
            <w:r>
              <w:rPr>
                <w:rFonts w:eastAsia="Arial" w:cs="Arial" w:ascii="Arial" w:hAnsi="Arial"/>
                <w:kern w:val="0"/>
                <w:sz w:val="20"/>
                <w:szCs w:val="20"/>
                <w:lang w:val="es-PE" w:eastAsia="en-US" w:bidi="ar-SA"/>
              </w:rPr>
              <w:t>FA-3 Error al guardar: si falla cualquier paso entre el 8 y el 11, el sistema revierte toda la operación y el partido sigue "Programado". Así no queda un partido con goles registrados pero sin tarjetas.</w:t>
            </w:r>
            <w:r>
              <w:rPr>
                <w:rFonts w:eastAsia="Cambria" w:cs=""/>
                <w:kern w:val="0"/>
                <w:sz w:val="24"/>
                <w:szCs w:val="24"/>
                <w:lang w:val="es-PE" w:eastAsia="en-US" w:bidi="ar-SA"/>
              </w:rPr>
              <w:br/>
            </w:r>
            <w:r>
              <w:rPr>
                <w:rFonts w:eastAsia="Arial" w:cs="Arial" w:ascii="Arial" w:hAnsi="Arial"/>
                <w:kern w:val="0"/>
                <w:sz w:val="20"/>
                <w:szCs w:val="20"/>
                <w:lang w:val="es-PE" w:eastAsia="en-US" w:bidi="ar-SA"/>
              </w:rPr>
              <w:t>FA-4 Genera suspensión («extend»): si un jugador llega a 3 amarillas, el sistema crea una Suspension de 1 fecha; si recibe roja, sugiere 2 fechas. En ambos casos vincula las tarjetas que la originaron en TarjetaDeSuspension.</w:t>
            </w:r>
            <w:r>
              <w:rPr>
                <w:rFonts w:eastAsia="Cambria" w:cs=""/>
                <w:kern w:val="0"/>
                <w:sz w:val="24"/>
                <w:szCs w:val="24"/>
                <w:lang w:val="es-PE" w:eastAsia="en-US" w:bidi="ar-SA"/>
              </w:rPr>
              <w:br/>
            </w:r>
            <w:r>
              <w:rPr>
                <w:rFonts w:eastAsia="Arial" w:cs="Arial" w:ascii="Arial" w:hAnsi="Arial"/>
                <w:kern w:val="0"/>
                <w:sz w:val="20"/>
                <w:szCs w:val="20"/>
                <w:lang w:val="es-PE" w:eastAsia="en-US" w:bidi="ar-SA"/>
              </w:rPr>
              <w:t>FA-5 Jornada completa («extend»): si era el último partido pendiente de la jornada, el sistema calcula PJ, PG, PE, PP, GF, GC, DG y Pts de cada equipo de la serie y guarda el RankingJornada.</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Postcondiciones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El partido queda "Finalizado" con su marcador. Quedan registradas la alineación, los goles y las tarjetas, las suspensiones generadas si las hubo, y el ranking de la jornada si esta se completó.</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Reglas de negocio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RN-04 No se registra la participación de un jugador suspendido. RN-05 3 amarillas generan suspensión. RN-06 Una roja sugiere 2 fechas. RN-09 Puntuación 3/1/0. RN-10 El ranking se genera cuando todos los partidos de la jornada están finalizados.</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1" w:name="_heading=h.plh2q9fpegf1"/>
      <w:bookmarkEnd w:id="21"/>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la incorporación de autenticación y autorización requiere entidades destinadas a representar usuarios y roles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dentro del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Género</w:t>
      </w:r>
      <w:r>
        <w:rPr>
          <w:rFonts w:eastAsia="Arial" w:cs="Arial" w:ascii="Arial" w:hAnsi="Arial"/>
          <w:sz w:val="22"/>
          <w:szCs w:val="22"/>
        </w:rPr>
        <w:t>: representa la clasificación musical utilizada para organizar 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 información necesaria para identificar a las personas autorizadas a utilizar el sistema.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Rol</w:t>
      </w:r>
      <w:r>
        <w:rPr>
          <w:rFonts w:eastAsia="Arial" w:cs="Arial" w:ascii="Arial" w:hAnsi="Arial"/>
          <w:sz w:val="22"/>
          <w:szCs w:val="22"/>
        </w:rPr>
        <w:t>: determina los permisos o nivel de acceso correspondiente a los usuarios.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relación principal existente en el catálogo corresponde a Banda 1 Álbum, debido a que una banda puede registrar múltiples álbumes, mientras que cada álbum se encuentra asociado a una banda.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establecer la generación del identificador.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@Column, para configurar las columnas asociadas a los atributos.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 relación existente entre bandas y álbumes.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Diccionario de datos de la tabla banda</w:t>
      </w:r>
    </w:p>
    <w:tbl>
      <w:tblPr>
        <w:tblStyle w:val="af0"/>
        <w:tblW w:w="9072"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560"/>
        <w:gridCol w:w="1733"/>
        <w:gridCol w:w="1292"/>
        <w:gridCol w:w="4487"/>
      </w:tblGrid>
      <w:tr>
        <w:trPr>
          <w:trHeight w:val="288" w:hRule="atLeast"/>
        </w:trPr>
        <w:tc>
          <w:tcPr>
            <w:tcW w:w="156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Campo</w:t>
            </w:r>
          </w:p>
        </w:tc>
        <w:tc>
          <w:tcPr>
            <w:tcW w:w="173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Tipo de dato</w:t>
            </w:r>
          </w:p>
        </w:tc>
        <w:tc>
          <w:tcPr>
            <w:tcW w:w="129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Clave</w:t>
            </w:r>
          </w:p>
        </w:tc>
        <w:tc>
          <w:tcPr>
            <w:tcW w:w="448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VARCHAR(80)</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 de la banda o artista.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pais</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VARCHAR(60)</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País de procedencia.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genero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VARCHAR(60)</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Género musical registrado en la versión inicial.</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anio_formacion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INT</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Año de formación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descripcion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Información descriptiva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imagen_url</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Dirección del recurso gráfico asociado.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7"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 del registro dentro del catálogo.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7"/>
                    <a:stretch>
                      <a:fillRect/>
                    </a:stretch>
                  </pic:blipFill>
                  <pic:spPr bwMode="auto">
                    <a:xfrm>
                      <a:off x="0" y="0"/>
                      <a:ext cx="4850130" cy="614616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8"/>
                    <a:stretch>
                      <a:fillRect/>
                    </a:stretch>
                  </pic:blipFill>
                  <pic:spPr bwMode="auto">
                    <a:xfrm>
                      <a:off x="0" y="0"/>
                      <a:ext cx="5759450" cy="295148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2" w:name="_heading=h.14700ra0n5z"/>
      <w:bookmarkEnd w:id="22"/>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9"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9"/>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spacing w:lineRule="auto" w:line="360" w:before="0" w:after="160"/>
        <w:jc w:val="both"/>
        <w:rPr>
          <w:color w:val="000000"/>
          <w:sz w:val="22"/>
          <w:szCs w:val="22"/>
        </w:rPr>
      </w:pPr>
      <w:r>
        <w:rP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30"/>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31"/>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32"/>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Style w:val="af1"/>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3523"/>
        <w:gridCol w:w="5547"/>
      </w:tblGrid>
      <w:tr>
        <w:trPr>
          <w:trHeight w:val="288" w:hRule="atLeast"/>
        </w:trPr>
        <w:tc>
          <w:tcPr>
            <w:tcW w:w="352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Dependencia</w:t>
            </w:r>
          </w:p>
        </w:tc>
        <w:tc>
          <w:tcPr>
            <w:tcW w:w="554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Propósito dentro del proyecto</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Web</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controladores y rutas web.</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Data JPA</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Facilita la persistencia de datos mediante repositorios.</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Hibernate</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Implementa el mapeo objeto-relacional.</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MySQL</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la conexión con la base de datos.</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Thymeleaf</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vistas HTML integradas con Spring.</w:t>
            </w:r>
          </w:p>
        </w:tc>
      </w:tr>
      <w:tr>
        <w:trPr>
          <w:trHeight w:val="288" w:hRule="atLeast"/>
        </w:trPr>
        <w:tc>
          <w:tcPr>
            <w:tcW w:w="352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JasperReports</w:t>
            </w:r>
          </w:p>
        </w:tc>
        <w:tc>
          <w:tcPr>
            <w:tcW w:w="5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3" w:name="_heading=h.pu4uwc7tmvdg"/>
      <w:bookmarkEnd w:id="23"/>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33"/>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34"/>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35"/>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6"/>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37"/>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24" w:name="_heading=h.ex1d12lq70ul"/>
      <w:bookmarkEnd w:id="24"/>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eastAsia="Arial" w:cs="Arial"/>
          <w:b/>
          <w:bCs/>
          <w:color w:val="000000"/>
          <w:sz w:val="22"/>
          <w:szCs w:val="22"/>
        </w:rPr>
      </w:pPr>
      <w:bookmarkStart w:id="25" w:name="_heading=h.i6wwru3zv4eg"/>
      <w:bookmarkEnd w:id="25"/>
      <w:r>
        <w:rPr>
          <w:rFonts w:eastAsia="Arial" w:cs="Arial" w:ascii="Arial" w:hAnsi="Arial"/>
          <w:b/>
          <w:bCs/>
          <w:color w:val="000000"/>
          <w:sz w:val="22"/>
          <w:szCs w:val="22"/>
        </w:rPr>
        <w:t>Arquitectura del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Style w:val="af2"/>
        <w:tblW w:w="793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2232"/>
        <w:gridCol w:w="2129"/>
        <w:gridCol w:w="3577"/>
      </w:tblGrid>
      <w:tr>
        <w:trPr>
          <w:trHeight w:val="288" w:hRule="atLeast"/>
        </w:trPr>
        <w:tc>
          <w:tcPr>
            <w:tcW w:w="223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Componente</w:t>
            </w:r>
          </w:p>
        </w:tc>
        <w:tc>
          <w:tcPr>
            <w:tcW w:w="2129"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Ubicación en el proyecto</w:t>
            </w:r>
          </w:p>
        </w:tc>
        <w:tc>
          <w:tcPr>
            <w:tcW w:w="357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Función</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Entity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model o entity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Representa tablas de la base de datos.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repository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operaciones de persistencia.</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Controller</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controller</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Atiende solicitudes web y coordina vistas.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View</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carpeta templates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Presenta interfaces al usuario.</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application.properties</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src/main/resources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Configura conexión y parámetros del sistema.</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6" w:name="_heading=h.fay1tkkevuqm"/>
      <w:bookmarkEnd w:id="26"/>
      <w:r>
        <w:rPr>
          <w:rFonts w:eastAsia="Arial" w:cs="Arial" w:ascii="Arial" w:hAnsi="Arial"/>
          <w:b/>
          <w:bCs/>
          <w:color w:val="000000"/>
          <w:sz w:val="22"/>
          <w:szCs w:val="22"/>
        </w:rPr>
        <w:t>Gestión de sesiones y roles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Style w:val="af3"/>
        <w:tblW w:w="7720"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496"/>
        <w:gridCol w:w="4984"/>
        <w:gridCol w:w="1240"/>
      </w:tblGrid>
      <w:tr>
        <w:trPr>
          <w:trHeight w:val="288" w:hRule="atLeast"/>
        </w:trPr>
        <w:tc>
          <w:tcPr>
            <w:tcW w:w="14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Rol</w:t>
            </w:r>
          </w:p>
        </w:tc>
        <w:tc>
          <w:tcPr>
            <w:tcW w:w="498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Permisos principales</w:t>
            </w:r>
          </w:p>
        </w:tc>
        <w:tc>
          <w:tcPr>
            <w:tcW w:w="124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Usuario de prueba</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Administrador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usuarios, productos, reportes y configuración.</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 ventas y consulta productos.</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Almacenero</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Controla productos y stock.</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7" w:name="_heading=h.2ce7aey0j4dx"/>
      <w:bookmarkEnd w:id="27"/>
      <w:r>
        <w:rPr>
          <w:rFonts w:eastAsia="Arial" w:cs="Arial" w:ascii="Arial" w:hAnsi="Arial"/>
          <w:b/>
          <w:bCs/>
          <w:color w:val="000000"/>
          <w:sz w:val="22"/>
          <w:szCs w:val="22"/>
        </w:rPr>
        <w:t>Implementación de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Style w:val="af4"/>
        <w:tblW w:w="804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693"/>
        <w:gridCol w:w="3988"/>
        <w:gridCol w:w="2367"/>
      </w:tblGrid>
      <w:tr>
        <w:trPr>
          <w:trHeight w:val="288" w:hRule="atLeast"/>
        </w:trPr>
        <w:tc>
          <w:tcPr>
            <w:tcW w:w="16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Mantenimiento</w:t>
            </w:r>
          </w:p>
        </w:tc>
        <w:tc>
          <w:tcPr>
            <w:tcW w:w="398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Funcionalidades implementadas</w:t>
            </w:r>
          </w:p>
        </w:tc>
        <w:tc>
          <w:tcPr>
            <w:tcW w:w="236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producto.</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Clientes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cliente.</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Proveedores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proveedor.</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8" w:name="_heading=h.4emr7s3awe4g"/>
      <w:bookmarkEnd w:id="28"/>
      <w:r>
        <w:rPr>
          <w:rFonts w:eastAsia="Arial" w:cs="Arial" w:ascii="Arial" w:hAnsi="Arial"/>
          <w:b/>
          <w:bCs/>
          <w:color w:val="000000"/>
          <w:sz w:val="22"/>
          <w:szCs w:val="22"/>
        </w:rPr>
        <w:t>Implementación de consultas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Style w:val="af5"/>
        <w:tblW w:w="789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705"/>
        <w:gridCol w:w="2548"/>
        <w:gridCol w:w="2551"/>
        <w:gridCol w:w="1094"/>
      </w:tblGrid>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Criterio de búsqueda</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stock</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categoría o stock mínimo.</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productos disponibles.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ventas</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Rango de fechas o cliente.</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ventas registradas.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9" w:name="_heading=h.vwqryxb2uurq"/>
      <w:bookmarkEnd w:id="29"/>
      <w:r>
        <w:rPr>
          <w:rFonts w:eastAsia="Arial" w:cs="Arial" w:ascii="Arial" w:hAnsi="Arial"/>
          <w:b/>
          <w:bCs/>
          <w:color w:val="000000"/>
          <w:sz w:val="22"/>
          <w:szCs w:val="22"/>
        </w:rPr>
        <w:t>Implementación del caso transaccional</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Style w:val="af6"/>
        <w:tblW w:w="7985"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2781"/>
        <w:gridCol w:w="5204"/>
      </w:tblGrid>
      <w:tr>
        <w:trPr>
          <w:trHeight w:val="288" w:hRule="atLeast"/>
        </w:trPr>
        <w:tc>
          <w:tcPr>
            <w:tcW w:w="27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520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de la transacción</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venta con detalle.</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Tablas involucradas</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detalle_venta, producto.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principal</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cabecera y detalle de venta.</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complementaria</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Actualizar stock del producto vendido.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registrada y stock actualizado correctamente.</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eastAsia="Arial" w:cs="Arial"/>
          <w:b/>
          <w:bCs/>
          <w:color w:val="000000"/>
          <w:sz w:val="22"/>
          <w:szCs w:val="22"/>
        </w:rPr>
      </w:pPr>
      <w:bookmarkStart w:id="30" w:name="_heading=h.yz4covfeysx7"/>
      <w:bookmarkEnd w:id="30"/>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5"/>
        </w:numP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Style w:val="af7"/>
        <w:tblW w:w="883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918"/>
        <w:gridCol w:w="1483"/>
        <w:gridCol w:w="2955"/>
        <w:gridCol w:w="2482"/>
      </w:tblGrid>
      <w:tr>
        <w:trPr>
          <w:trHeight w:val="288" w:hRule="atLeast"/>
        </w:trPr>
        <w:tc>
          <w:tcPr>
            <w:tcW w:w="191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Tipo de reporte</w:t>
            </w:r>
          </w:p>
        </w:tc>
        <w:tc>
          <w:tcPr>
            <w:tcW w:w="295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Datos utilizados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91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ventas</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 PDF</w:t>
            </w:r>
          </w:p>
        </w:tc>
        <w:tc>
          <w:tcPr>
            <w:tcW w:w="295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Ventas, clientes, fechas y montos.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r>
        <w:trPr>
          <w:trHeight w:val="288" w:hRule="atLeast"/>
        </w:trPr>
        <w:tc>
          <w:tcPr>
            <w:tcW w:w="191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inventario</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o gráfico</w:t>
            </w:r>
          </w:p>
        </w:tc>
        <w:tc>
          <w:tcPr>
            <w:tcW w:w="295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 stock y categorías.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1" w:name="_heading=h.yvwb9d2ifv9a"/>
      <w:bookmarkEnd w:id="31"/>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5"/>
        </w:numP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Style w:val="af8"/>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892"/>
        <w:gridCol w:w="4582"/>
        <w:gridCol w:w="2596"/>
      </w:tblGrid>
      <w:tr>
        <w:trPr>
          <w:trHeight w:val="288" w:hRule="atLeast"/>
        </w:trPr>
        <w:tc>
          <w:tcPr>
            <w:tcW w:w="189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458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c>
          <w:tcPr>
            <w:tcW w:w="25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Recurso Azure</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Aplicación web creada en Azure.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recurso.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conectado al despliegue.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o captura.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Workflow ejecutado correctamente.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proceso.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 acceso a la aplicación.</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2" w:name="_heading=h.66eko9fd7tjv"/>
      <w:bookmarkEnd w:id="32"/>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Enlace del video.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Duración del video.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roles.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4"/>
        </w:numPr>
        <w:spacing w:lineRule="auto" w:line="360" w:before="0" w:after="160"/>
        <w:ind w:hanging="283" w:lef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3" w:name="_heading=h.xlb32k8d2ysd"/>
      <w:bookmarkEnd w:id="33"/>
      <w:r>
        <w:rPr>
          <w:rFonts w:eastAsia="Arial" w:cs="Arial" w:ascii="Arial" w:hAnsi="Arial"/>
          <w:sz w:val="22"/>
          <w:szCs w:val="22"/>
        </w:rPr>
        <w:t>A continuación, se muestra la manera en que deben de insertarse las figuras en formato APA:</w:t>
      </w:r>
    </w:p>
    <w:p>
      <w:pPr>
        <w:pStyle w:val="Normal"/>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4" w:name="_heading=h.zdzabtyvmzh7"/>
      <w:bookmarkEnd w:id="34"/>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Style w:val="af9"/>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3215"/>
        <w:gridCol w:w="1574"/>
        <w:gridCol w:w="4281"/>
      </w:tblGrid>
      <w:tr>
        <w:trPr>
          <w:trHeight w:val="288" w:hRule="atLeast"/>
        </w:trPr>
        <w:tc>
          <w:tcPr>
            <w:tcW w:w="3215"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Requisito solicitado</w:t>
            </w:r>
          </w:p>
        </w:tc>
        <w:tc>
          <w:tcPr>
            <w:tcW w:w="157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Cumple</w:t>
            </w:r>
          </w:p>
        </w:tc>
        <w:tc>
          <w:tcPr>
            <w:tcW w:w="42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 presentada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Conexión con base de datos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conexión o configuración.</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roles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roles o permisos.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sesiones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login y logout.</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3 mantenimientos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CRUD implementados.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consultas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consultas funcionales.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reportes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o archivos generados.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1 caso transaccional</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flujo y base de datos.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GitHub</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del repositorio.</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Despliegue en Azure</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 y captura.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workflow.</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Video Demo Reel</w:t>
            </w:r>
          </w:p>
        </w:tc>
        <w:tc>
          <w:tcPr>
            <w:tcW w:w="157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5" w:name="_heading=h.lkddd7j1zl56"/>
      <w:bookmarkEnd w:id="35"/>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Una conclusión por cada objetivo específico.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5"/>
        </w:numPr>
        <w:spacing w:lineRule="auto" w:line="360" w:before="0" w:after="160"/>
        <w:jc w:val="both"/>
        <w:rPr>
          <w:color w:val="000000"/>
          <w:sz w:val="22"/>
          <w:szCs w:val="22"/>
        </w:rPr>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6" w:name="_heading=h.q02ch4rnt6ed"/>
      <w:bookmarkEnd w:id="36"/>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5"/>
        </w:numPr>
        <w:spacing w:lineRule="auto" w:line="360" w:before="0" w:after="160"/>
        <w:jc w:val="both"/>
        <w:rPr>
          <w:color w:val="000000"/>
          <w:sz w:val="22"/>
          <w:szCs w:val="22"/>
        </w:rPr>
        <w:sectPr>
          <w:headerReference w:type="even" r:id="rId50"/>
          <w:headerReference w:type="default" r:id="rId51"/>
          <w:headerReference w:type="first" r:id="rId52"/>
          <w:footerReference w:type="even" r:id="rId53"/>
          <w:footerReference w:type="default" r:id="rId54"/>
          <w:footerReference w:type="first" r:id="rId55"/>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7" w:name="_heading=h.mgv0roui4ril"/>
      <w:bookmarkEnd w:id="37"/>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8" w:name="_heading=h.i97aehwuaj9v"/>
      <w:bookmarkEnd w:id="38"/>
      <w:r>
        <w:rPr>
          <w:rFonts w:eastAsia="Arial" w:cs="Arial" w:ascii="Arial" w:hAnsi="Arial"/>
          <w:b/>
          <w:bCs/>
          <w:color w:val="000000"/>
          <w:sz w:val="22"/>
          <w:szCs w:val="22"/>
        </w:rPr>
        <w:t>Bibliografía</w:t>
      </w:r>
    </w:p>
    <w:p>
      <w:pPr>
        <w:pStyle w:val="Normal"/>
        <w:spacing w:lineRule="auto" w:line="360" w:before="0" w:after="160"/>
        <w:ind w:hanging="720" w:lef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even" r:id="rId62"/>
          <w:headerReference w:type="default" r:id="rId63"/>
          <w:headerReference w:type="first" r:id="rId64"/>
          <w:footerReference w:type="even" r:id="rId65"/>
          <w:footerReference w:type="default" r:id="rId66"/>
          <w:footerReference w:type="first" r:id="rId67"/>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9" w:name="_heading=h.h9zjkx4vbzvv"/>
      <w:bookmarkEnd w:id="39"/>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even" r:id="rId68"/>
      <w:headerReference w:type="default" r:id="rId69"/>
      <w:headerReference w:type="first" r:id="rId70"/>
      <w:footerReference w:type="even" r:id="rId71"/>
      <w:footerReference w:type="default" r:id="rId72"/>
      <w:footerReference w:type="first" r:id="rId73"/>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true"/>
        <w:spacing w:lineRule="auto" w:line="240" w:before="0" w:after="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3" w:fontKey="{03014A78-CABC-4EF0-12AC-5CD89AEFDE03}"/>
    <w:embedBold r:id="rId4" w:fontKey="{04014A78-CABC-4EF0-12AC-5CD89AEFDE04}"/>
    <w:embedItalic r:id="rId5" w:fontKey="{05014A78-CABC-4EF0-12AC-5CD89AEFDE05}"/>
    <w:embedBoldItalic r:id="rId6" w:fontKey="{06014A78-CABC-4EF0-12AC-5CD89AEFDE06}"/>
  </w:font>
  <w:font w:name="Times New Roman">
    <w:charset w:val="01"/>
    <w:family w:val="roman"/>
    <w:pitch w:val="variable"/>
    <w:embedBold r:id="rId2" w:fontKey="{02014A78-CABC-4EF0-12AC-5CD89AEFDE02}"/>
  </w:font>
  <w:font w:name="Calibri">
    <w:charset w:val="01"/>
    <w:family w:val="swiss"/>
    <w:pitch w:val="variable"/>
    <w:embedRegular r:id="rId7" w:fontKey="{07014A78-CABC-4EF0-12AC-5CD89AEFDE07}"/>
    <w:embe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 w:name="Times">
    <w:altName w:val="Times New Roman"/>
    <w:charset w:val="01"/>
    <w:family w:val="roman"/>
    <w:pitch w:val="variable"/>
    <w:embedBold r:id="rId14" w:fontKey="{0E014A78-CABC-4EF0-12AC-5CD89AEFDE0E}"/>
  </w:font>
  <w:font w:name="Arial">
    <w:charset w:val="01"/>
    <w:family w:val="swiss"/>
    <w:pitch w:val="variable"/>
  </w:font>
  <w:font w:name="Arial">
    <w:charset w:val="01"/>
    <w:family w:val="swiss"/>
    <w:pitch w:val="default"/>
  </w:font>
  <w:font w:name="Courier New">
    <w:charset w:val="01"/>
    <w:family w:val="modern"/>
    <w:pitch w:val="fixed"/>
  </w:font>
  <w:font w:name="Noto Sans Symbols">
    <w:charset w:val="01"/>
    <w:family w:val="swiss"/>
    <w:pitch w:val="variable"/>
    <w:embedRegular r:id="rId15" w:fontKey="{0F014A78-CABC-4EF0-12AC-5CD89AEFDE0F}"/>
    <w:embedBold r:id="rId16" w:fontKey="{10014A78-CABC-4EF0-12AC-5CD89AEFDE10}"/>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1800" w:hanging="720"/>
      </w:pPr>
      <w:rPr/>
    </w:lvl>
    <w:lvl w:ilvl="3">
      <w:start w:val="1"/>
      <w:numFmt w:val="decimal"/>
      <w:lvlText w:val="%1.%2.%3.%4."/>
      <w:lvlJc w:val="left"/>
      <w:pPr>
        <w:tabs>
          <w:tab w:val="num" w:pos="0"/>
        </w:tabs>
        <w:ind w:left="252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00" w:hanging="1440"/>
      </w:pPr>
      <w:rPr/>
    </w:lvl>
    <w:lvl w:ilvl="6">
      <w:start w:val="1"/>
      <w:numFmt w:val="decimal"/>
      <w:lvlText w:val="%1.%2.%3.%4.%5.%6.%7."/>
      <w:lvlJc w:val="left"/>
      <w:pPr>
        <w:tabs>
          <w:tab w:val="num" w:pos="0"/>
        </w:tabs>
        <w:ind w:left="3960" w:hanging="1440"/>
      </w:pPr>
      <w:rPr/>
    </w:lvl>
    <w:lvl w:ilvl="7">
      <w:start w:val="1"/>
      <w:numFmt w:val="decimal"/>
      <w:lvlText w:val="%1.%2.%3.%4.%5.%6.%7.%8."/>
      <w:lvlJc w:val="left"/>
      <w:pPr>
        <w:tabs>
          <w:tab w:val="num" w:pos="0"/>
        </w:tabs>
        <w:ind w:left="4680" w:hanging="1800"/>
      </w:pPr>
      <w:rPr/>
    </w:lvl>
    <w:lvl w:ilvl="8">
      <w:start w:val="1"/>
      <w:numFmt w:val="decimal"/>
      <w:lvlText w:val="%1.%2.%3.%4.%5.%6.%7.%8.%9."/>
      <w:lvlJc w:val="left"/>
      <w:pPr>
        <w:tabs>
          <w:tab w:val="num" w:pos="0"/>
        </w:tabs>
        <w:ind w:left="5040" w:hanging="1800"/>
      </w:pPr>
      <w:rPr/>
    </w:lvl>
  </w:abstractNum>
  <w:abstractNum w:abstractNumId="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5">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6">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PE" w:eastAsia="es-P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4245e0"/>
    <w:rPr>
      <w:sz w:val="16"/>
      <w:szCs w:val="16"/>
    </w:rPr>
  </w:style>
  <w:style w:type="character" w:styleId="TextocomentarioCar" w:customStyle="1">
    <w:name w:val="Texto comentario Car"/>
    <w:basedOn w:val="DefaultParagraphFont"/>
    <w:uiPriority w:val="99"/>
    <w:semiHidden/>
    <w:qFormat/>
    <w:rsid w:val="004245e0"/>
    <w:rPr>
      <w:sz w:val="20"/>
      <w:szCs w:val="20"/>
    </w:rPr>
  </w:style>
  <w:style w:type="character" w:styleId="AsuntodelcomentarioCar" w:customStyle="1">
    <w:name w:val="Asunto del comentario Car"/>
    <w:basedOn w:val="TextocomentarioCar"/>
    <w:link w:val="annotationsubject"/>
    <w:uiPriority w:val="99"/>
    <w:semiHidden/>
    <w:qFormat/>
    <w:rsid w:val="004245e0"/>
    <w:rPr>
      <w:b/>
      <w:bCs/>
      <w:sz w:val="20"/>
      <w:szCs w:val="20"/>
    </w:rPr>
  </w:style>
  <w:style w:type="character" w:styleId="Hyperlink">
    <w:name w:val="Hyperlink"/>
    <w:rPr>
      <w:color w:val="000080"/>
      <w:u w:val="single"/>
    </w:rPr>
  </w:style>
  <w:style w:type="character" w:styleId="Enlacedelndiceuser">
    <w:name w:val="Enlace del índice (user)"/>
    <w:qFormat/>
    <w:rPr/>
  </w:style>
  <w:style w:type="character" w:styleId="Enlacedelndice">
    <w:name w:val="Enlace del índice"/>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CommentText">
    <w:name w:val="annotation text"/>
    <w:basedOn w:val="Normal"/>
    <w:link w:val="TextocomentarioCar"/>
    <w:uiPriority w:val="99"/>
    <w:semiHidden/>
    <w:unhideWhenUsed/>
    <w:rsid w:val="004245e0"/>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4245e0"/>
    <w:pPr/>
    <w:rPr>
      <w:b/>
      <w:bCs/>
    </w:rPr>
  </w:style>
  <w:style w:type="paragraph" w:styleId="NormalWeb">
    <w:name w:val="Normal (Web)"/>
    <w:basedOn w:val="Normal"/>
    <w:uiPriority w:val="99"/>
    <w:unhideWhenUsed/>
    <w:qFormat/>
    <w:rsid w:val="00a3626e"/>
    <w:pPr>
      <w:spacing w:lineRule="auto" w:line="240" w:beforeAutospacing="1" w:afterAutospacing="1"/>
    </w:pPr>
    <w:rPr/>
  </w:style>
  <w:style w:type="paragraph" w:styleId="ListParagraph">
    <w:name w:val="List Paragraph"/>
    <w:basedOn w:val="Normal"/>
    <w:uiPriority w:val="34"/>
    <w:qFormat/>
    <w:rsid w:val="00a10d78"/>
    <w:pPr>
      <w:spacing w:before="160" w:after="160"/>
      <w:ind w:left="720"/>
      <w:contextualSpacing/>
    </w:pPr>
    <w:rPr>
      <w:rFonts w:eastAsia="Cambria" w:cs="" w:cstheme="minorBidi" w:eastAsiaTheme="minorHAnsi"/>
      <w:lang w:eastAsia="en-US"/>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Cabeceraizquierdauser">
    <w:name w:val="Cabecera izquierda (user)"/>
    <w:basedOn w:val="Header"/>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itaenbloqueuser">
    <w:name w:val="Cita en bloque (user)"/>
    <w:basedOn w:val="Normal"/>
    <w:qFormat/>
    <w:pPr>
      <w:spacing w:before="160" w:after="283"/>
      <w:ind w:hanging="0" w:left="567" w:right="567"/>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styleId="Tablaconcuadrcula5oscura-nfasis1">
    <w:name w:val="Grid Table 5 Dark Accent 1"/>
    <w:basedOn w:val="Tablanormal"/>
    <w:uiPriority w:val="50"/>
    <w:rsid w:val="0010397d"/>
    <w:pPr>
      <w:spacing w:after="0" w:line="240" w:lineRule="auto"/>
    </w:pPr>
    <w:rPr>
      <w:rFonts w:eastAsiaTheme="minorHAnsi" w:cstheme="minorBidi"/>
      <w:lang w:eastAsia="en-US"/>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19.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19.xml"/><Relationship Id="rId60" Type="http://schemas.openxmlformats.org/officeDocument/2006/relationships/footer" Target="footer20.xml"/><Relationship Id="rId61" Type="http://schemas.openxmlformats.org/officeDocument/2006/relationships/footer" Target="footer21.xml"/><Relationship Id="rId62" Type="http://schemas.openxmlformats.org/officeDocument/2006/relationships/header" Target="header22.xml"/><Relationship Id="rId63" Type="http://schemas.openxmlformats.org/officeDocument/2006/relationships/header" Target="header23.xml"/><Relationship Id="rId64" Type="http://schemas.openxmlformats.org/officeDocument/2006/relationships/header" Target="header24.xml"/><Relationship Id="rId65" Type="http://schemas.openxmlformats.org/officeDocument/2006/relationships/footer" Target="footer22.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25.xml"/><Relationship Id="rId69" Type="http://schemas.openxmlformats.org/officeDocument/2006/relationships/header" Target="header26.xml"/><Relationship Id="rId70" Type="http://schemas.openxmlformats.org/officeDocument/2006/relationships/header" Target="header27.xml"/><Relationship Id="rId71" Type="http://schemas.openxmlformats.org/officeDocument/2006/relationships/footer" Target="footer25.xml"/><Relationship Id="rId72" Type="http://schemas.openxmlformats.org/officeDocument/2006/relationships/footer" Target="footer26.xml"/><Relationship Id="rId73" Type="http://schemas.openxmlformats.org/officeDocument/2006/relationships/footer" Target="footer27.xml"/><Relationship Id="rId74" Type="http://schemas.openxmlformats.org/officeDocument/2006/relationships/comments" Target="comments.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Relationship Id="rId7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LibreOffice/25.8.7.3$Linux_X86_64 LibreOffice_project/580$Build-3</Application>
  <AppVersion>15.0000</AppVersion>
  <Pages>46</Pages>
  <Words>7462</Words>
  <Characters>44460</Characters>
  <CharactersWithSpaces>51083</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
  <dc:description/>
  <dc:language>es-ES</dc:language>
  <cp:lastModifiedBy/>
  <dcterms:modified xsi:type="dcterms:W3CDTF">2026-10-04T01:08:12Z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