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sz w:val="44"/>
        </w:rPr>
        <w:t>Lumper Service Agreement</w:t>
      </w:r>
    </w:p>
    <w:p>
      <w:pPr>
        <w:spacing w:after="240"/>
      </w:pPr>
      <w:r>
        <w:rPr>
          <w:b/>
        </w:rPr>
        <w:t>This Service Agreement ("Agreement") is made and entered into between:</w:t>
      </w:r>
    </w:p>
    <w:p>
      <w:pPr>
        <w:spacing w:after="40"/>
      </w:pPr>
      <w:r>
        <w:rPr>
          <w:b/>
        </w:rPr>
        <w:t>West Logistics, LLC</w:t>
        <w:br/>
      </w:r>
      <w:r>
        <w:t>6908 Chapman Road</w:t>
        <w:br/>
      </w:r>
      <w:r>
        <w:t>Lithonia, GA 30058</w:t>
      </w:r>
    </w:p>
    <w:p>
      <w:pPr>
        <w:spacing w:after="120"/>
      </w:pPr>
      <w:r>
        <w:rPr>
          <w:b/>
        </w:rPr>
        <w:t>Provider:</w:t>
        <w:br/>
      </w:r>
      <w:r>
        <w:t>Carolina Lumper Service, LLC</w:t>
        <w:br/>
      </w:r>
      <w:r>
        <w:t>Contact: Steve Garay</w:t>
        <w:br/>
      </w:r>
      <w:r>
        <w:t>Email: info@carolinalumpers.com</w:t>
      </w:r>
    </w:p>
    <w:p>
      <w:pPr>
        <w:spacing w:before="120" w:after="120"/>
        <w:pBdr>
          <w:bottom w:val="single" w:sz="4" w:space="1" w:color="auto"/>
        </w:pBdr>
      </w:pPr>
    </w:p>
    <w:p>
      <w:pPr>
        <w:spacing w:before="160" w:after="120"/>
      </w:pPr>
      <w:r>
        <w:rPr>
          <w:b/>
        </w:rPr>
        <w:t>1. Scope of Services</w:t>
      </w:r>
    </w:p>
    <w:p>
      <w:pPr>
        <w:spacing w:after="120"/>
      </w:pPr>
      <w:r>
        <w:rPr>
          <w:b w:val="0"/>
        </w:rPr>
        <w:t xml:space="preserve">Provider agrees to perform freight unloading ("lumper") services at Client facilities as requested. Provider is a lumper service provider and </w:t>
      </w:r>
      <w:r>
        <w:rPr>
          <w:b/>
        </w:rPr>
        <w:t>not a staffing agency</w:t>
      </w:r>
      <w:r>
        <w:rPr>
          <w:b w:val="0"/>
        </w:rPr>
        <w:t>. Provider does not lease or supply employees to Client. All crews remain under Provider's management and responsibility. Provider's personnel shall comply with all Client facility safety policies, OSHA requirements, and site rules at all times.</w:t>
      </w:r>
    </w:p>
    <w:p>
      <w:pPr>
        <w:spacing w:before="120" w:after="120"/>
        <w:pBdr>
          <w:bottom w:val="single" w:sz="4" w:space="1" w:color="auto"/>
        </w:pBdr>
      </w:pPr>
    </w:p>
    <w:p>
      <w:pPr>
        <w:spacing w:before="160" w:after="120"/>
      </w:pPr>
      <w:r>
        <w:rPr>
          <w:b/>
        </w:rPr>
        <w:t>2. Rates and Pricing Structure</w:t>
      </w:r>
    </w:p>
    <w:p>
      <w:pPr>
        <w:spacing w:after="120"/>
      </w:pPr>
      <w:r>
        <w:rPr>
          <w:b w:val="0"/>
        </w:rPr>
        <w:t>Pricing is based on actual handling requirements observed at the time of unloading, including pallet height, case count, and unload duration.</w:t>
      </w:r>
    </w:p>
    <w:p>
      <w:pPr>
        <w:spacing w:before="160" w:after="120"/>
      </w:pPr>
      <w:r>
        <w:rPr>
          <w:b/>
        </w:rPr>
        <w:t>2.1 Base Unload Rate</w:t>
      </w:r>
    </w:p>
    <w:p>
      <w:pPr>
        <w:spacing w:after="120"/>
      </w:pPr>
      <w:r>
        <w:rPr>
          <w:b w:val="0"/>
        </w:rPr>
        <w:t>$300 per container</w:t>
      </w:r>
    </w:p>
    <w:p>
      <w:pPr>
        <w:spacing w:after="120"/>
      </w:pPr>
      <w:r>
        <w:rPr>
          <w:b w:val="0"/>
        </w:rPr>
        <w:t>Applies to standard unloads of up to 2,000 cases, where:</w:t>
      </w:r>
    </w:p>
    <w:p>
      <w:pPr>
        <w:spacing w:after="120"/>
      </w:pPr>
    </w:p>
    <w:p>
      <w:pPr>
        <w:pStyle w:val="ListBullet"/>
      </w:pPr>
      <w:r>
        <w:rPr>
          <w:b w:val="0"/>
        </w:rPr>
        <w:t xml:space="preserve"> Total pallet height does not exceed 100 inches, and</w:t>
      </w:r>
    </w:p>
    <w:p>
      <w:pPr>
        <w:pStyle w:val="ListBullet"/>
      </w:pPr>
      <w:r>
        <w:rPr>
          <w:b w:val="0"/>
        </w:rPr>
        <w:t xml:space="preserve"> Pallets can be fully built inside the container without ladder-assisted stacking.</w:t>
      </w:r>
    </w:p>
    <w:p>
      <w:pPr>
        <w:spacing w:before="160" w:after="120"/>
      </w:pPr>
      <w:r>
        <w:rPr>
          <w:b/>
        </w:rPr>
        <w:t>2.2 Additional Handling Charges (applied only when required by the load)</w:t>
      </w:r>
    </w:p>
    <w:p>
      <w:pPr>
        <w:spacing w:after="120"/>
      </w:pPr>
      <w:r>
        <w:rPr>
          <w:b/>
        </w:rPr>
        <w:t>A. High Stack Handling</w:t>
      </w:r>
    </w:p>
    <w:p>
      <w:pPr>
        <w:spacing w:after="120"/>
      </w:pPr>
    </w:p>
    <w:p>
      <w:pPr>
        <w:pStyle w:val="ListBullet"/>
      </w:pPr>
      <w:r>
        <w:rPr>
          <w:b/>
        </w:rPr>
        <w:t>+ $150 per container</w:t>
      </w:r>
    </w:p>
    <w:p>
      <w:pPr>
        <w:spacing w:after="120"/>
      </w:pPr>
      <w:r>
        <w:rPr>
          <w:b w:val="0"/>
        </w:rPr>
        <w:t>Applies when total pallet height exceeds 100 inches, as determined by:</w:t>
      </w:r>
    </w:p>
    <w:p>
      <w:pPr>
        <w:spacing w:after="120"/>
      </w:pPr>
    </w:p>
    <w:p>
      <w:pPr>
        <w:pStyle w:val="ListBullet"/>
      </w:pPr>
      <w:r>
        <w:rPr>
          <w:b w:val="0"/>
        </w:rPr>
        <w:t xml:space="preserve"> Manufacturer pallet load sheets, or</w:t>
      </w:r>
    </w:p>
    <w:p>
      <w:pPr>
        <w:pStyle w:val="ListBullet"/>
      </w:pPr>
      <w:r>
        <w:rPr>
          <w:b w:val="0"/>
        </w:rPr>
        <w:t xml:space="preserve"> Actual pallet builds observed during unloading.</w:t>
      </w:r>
    </w:p>
    <w:p>
      <w:pPr>
        <w:spacing w:after="120"/>
      </w:pPr>
      <w:r>
        <w:rPr>
          <w:b w:val="0"/>
        </w:rPr>
        <w:t>High Stack Handling requires ladder-assisted stacking and/or multi-stage pallet builds.</w:t>
      </w:r>
    </w:p>
    <w:p>
      <w:pPr>
        <w:spacing w:after="120"/>
      </w:pPr>
      <w:r>
        <w:rPr>
          <w:b/>
        </w:rPr>
        <w:t>B. High Case Count Handling</w:t>
      </w:r>
    </w:p>
    <w:p>
      <w:pPr>
        <w:spacing w:after="120"/>
      </w:pPr>
      <w:r>
        <w:rPr>
          <w:b w:val="0"/>
        </w:rPr>
        <w:t>Applies when total case count exceeds 2,000 cases, due to extended handling and repeated pallet builds:</w:t>
      </w:r>
    </w:p>
    <w:p>
      <w:pPr>
        <w:spacing w:after="120"/>
      </w:pPr>
    </w:p>
    <w:p>
      <w:pPr>
        <w:pStyle w:val="ListBullet"/>
      </w:pPr>
      <w:r>
        <w:rPr>
          <w:b w:val="0"/>
        </w:rPr>
        <w:t xml:space="preserve"> 2,001–3,000 cases: +$100</w:t>
      </w:r>
    </w:p>
    <w:p>
      <w:pPr>
        <w:pStyle w:val="ListBullet"/>
      </w:pPr>
      <w:r>
        <w:rPr>
          <w:b w:val="0"/>
        </w:rPr>
        <w:t xml:space="preserve"> 3,001–4,000 cases: +$150</w:t>
      </w:r>
    </w:p>
    <w:p>
      <w:pPr>
        <w:spacing w:after="120"/>
      </w:pPr>
      <w:r>
        <w:rPr>
          <w:b w:val="0"/>
        </w:rPr>
        <w:t>When both High Stack Handling and High Case Count Handling apply, the total charge is capped at $600 per container for loads up to 4,000 cases.</w:t>
      </w:r>
    </w:p>
    <w:p>
      <w:pPr>
        <w:spacing w:before="120" w:after="120"/>
        <w:pBdr>
          <w:bottom w:val="single" w:sz="4" w:space="1" w:color="auto"/>
        </w:pBdr>
      </w:pPr>
    </w:p>
    <w:p>
      <w:pPr>
        <w:spacing w:before="160" w:after="120"/>
      </w:pPr>
      <w:r>
        <w:rPr>
          <w:b/>
        </w:rPr>
        <w:t>3. Handling Classification</w:t>
      </w:r>
    </w:p>
    <w:p>
      <w:pPr>
        <w:spacing w:after="120"/>
      </w:pPr>
      <w:r>
        <w:rPr>
          <w:b w:val="0"/>
        </w:rPr>
        <w:t>Handling classification shall be determined based on actual unload conditions at the dock. Manufacturer pallet load sheets may be used as a reference; however, final classification is based on real-world handling requirements observed during unloading. SKU designation alone does not override physical handling conditions.</w:t>
      </w:r>
    </w:p>
    <w:p>
      <w:pPr>
        <w:spacing w:before="120" w:after="120"/>
        <w:pBdr>
          <w:bottom w:val="single" w:sz="4" w:space="1" w:color="auto"/>
        </w:pBdr>
      </w:pPr>
    </w:p>
    <w:p>
      <w:pPr>
        <w:spacing w:before="160" w:after="120"/>
      </w:pPr>
      <w:r>
        <w:rPr>
          <w:b/>
        </w:rPr>
        <w:t>4. Scheduling and Access</w:t>
      </w:r>
    </w:p>
    <w:p>
      <w:pPr>
        <w:spacing w:after="120"/>
      </w:pPr>
      <w:r>
        <w:rPr>
          <w:b w:val="0"/>
        </w:rPr>
        <w:t>Client agrees to:</w:t>
      </w:r>
    </w:p>
    <w:p>
      <w:pPr>
        <w:spacing w:after="120"/>
      </w:pPr>
    </w:p>
    <w:p>
      <w:pPr>
        <w:pStyle w:val="ListBullet"/>
      </w:pPr>
      <w:r>
        <w:rPr>
          <w:b w:val="0"/>
        </w:rPr>
        <w:t xml:space="preserve"> Provide timely access to containers and dock doors</w:t>
      </w:r>
    </w:p>
    <w:p>
      <w:pPr>
        <w:pStyle w:val="ListBullet"/>
      </w:pPr>
      <w:r>
        <w:rPr>
          <w:b w:val="0"/>
        </w:rPr>
        <w:t xml:space="preserve"> Ensure freight is accessible and ready for unloading</w:t>
      </w:r>
    </w:p>
    <w:p>
      <w:pPr>
        <w:pStyle w:val="ListBullet"/>
      </w:pPr>
      <w:r>
        <w:rPr>
          <w:b w:val="0"/>
        </w:rPr>
        <w:t xml:space="preserve"> Provide necessary equipment access (dock plates, pallet jacks, etc.)</w:t>
      </w:r>
    </w:p>
    <w:p>
      <w:pPr>
        <w:spacing w:after="120"/>
      </w:pPr>
      <w:r>
        <w:rPr>
          <w:b w:val="0"/>
        </w:rPr>
        <w:t>Delays caused by dock congestion, inaccessible freight, or facility issues may extend unload time and impact pricing.</w:t>
      </w:r>
    </w:p>
    <w:p>
      <w:pPr>
        <w:spacing w:before="120" w:after="120"/>
        <w:pBdr>
          <w:bottom w:val="single" w:sz="4" w:space="1" w:color="auto"/>
        </w:pBdr>
      </w:pPr>
    </w:p>
    <w:p>
      <w:pPr>
        <w:spacing w:before="160" w:after="120"/>
      </w:pPr>
      <w:r>
        <w:rPr>
          <w:b/>
        </w:rPr>
        <w:t>5. Term</w:t>
      </w:r>
    </w:p>
    <w:p>
      <w:pPr>
        <w:spacing w:after="120"/>
      </w:pPr>
      <w:r>
        <w:rPr>
          <w:b w:val="0"/>
        </w:rPr>
        <w:t xml:space="preserve">This Agreement shall commence on the Effective Date and continue until terminated. Either party may terminate this Agreement by providing </w:t>
      </w:r>
      <w:r>
        <w:rPr>
          <w:b/>
        </w:rPr>
        <w:t>15 days' written notice</w:t>
      </w:r>
      <w:r>
        <w:rPr>
          <w:b w:val="0"/>
        </w:rPr>
        <w:t>.</w:t>
      </w:r>
    </w:p>
    <w:p>
      <w:pPr>
        <w:spacing w:before="120" w:after="120"/>
        <w:pBdr>
          <w:bottom w:val="single" w:sz="4" w:space="1" w:color="auto"/>
        </w:pBdr>
      </w:pPr>
    </w:p>
    <w:p>
      <w:pPr>
        <w:spacing w:before="160" w:after="120"/>
      </w:pPr>
      <w:r>
        <w:rPr>
          <w:b/>
        </w:rPr>
        <w:t>6. Insurance</w:t>
      </w:r>
    </w:p>
    <w:p>
      <w:pPr>
        <w:spacing w:after="120"/>
      </w:pPr>
      <w:r>
        <w:rPr>
          <w:b w:val="0"/>
        </w:rPr>
        <w:t>Provider maintains general liability and workers' compensation insurance for its personnel and will provide certificates upon request. Provider shall maintain, at a minimum: (a) Commercial General Liability insurance with limits of not less than $1,000,000 per occurrence and $2,000,000 aggregate; (b) Workers' Compensation insurance as required by law; (c) Employer's Liability insurance with limits not less than $500,000. All liability policies shall name Client as an Additional Insured on a primary and non-contributory basis, and certificates of insurance shall be provided prior to commencement of services and upon renewal.</w:t>
      </w:r>
    </w:p>
    <w:p>
      <w:pPr>
        <w:spacing w:before="120" w:after="120"/>
        <w:pBdr>
          <w:bottom w:val="single" w:sz="4" w:space="1" w:color="auto"/>
        </w:pBdr>
      </w:pPr>
    </w:p>
    <w:p>
      <w:pPr>
        <w:spacing w:before="160" w:after="120"/>
      </w:pPr>
      <w:r>
        <w:rPr>
          <w:b/>
        </w:rPr>
        <w:t>7. Independent Contractor</w:t>
      </w:r>
    </w:p>
    <w:p>
      <w:pPr>
        <w:spacing w:after="120"/>
      </w:pPr>
      <w:r>
        <w:rPr>
          <w:b w:val="0"/>
        </w:rPr>
        <w:t>Provider is an independent contractor and assumes full responsibility for its personnel, including wages, taxes, insurance, and benefits. Nothing in this Agreement shall be construed as creating an employer–employee, joint venture, or staffing relationship between Client and Provider's personnel. Provider's personnel shall not operate or use Client's forklifts, pallet jacks, or other material handling equipment without Client's express prior written consent.</w:t>
      </w:r>
    </w:p>
    <w:p>
      <w:pPr>
        <w:spacing w:before="120" w:after="120"/>
        <w:pBdr>
          <w:bottom w:val="single" w:sz="4" w:space="1" w:color="auto"/>
        </w:pBdr>
      </w:pPr>
    </w:p>
    <w:p>
      <w:pPr>
        <w:spacing w:before="160" w:after="120"/>
      </w:pPr>
      <w:r>
        <w:rPr>
          <w:b/>
        </w:rPr>
        <w:t>8. Worker Conversion Fee</w:t>
      </w:r>
    </w:p>
    <w:p>
      <w:pPr>
        <w:spacing w:after="120"/>
      </w:pPr>
      <w:r>
        <w:rPr>
          <w:b w:val="0"/>
        </w:rPr>
        <w:t>Client agrees not to directly hire or engage Provider's employees or subcontractors during the term of this Agreement and for a period of twelve (12) months following its termination. In the event Client hires or engages any such individual without Provider's prior written consent, Client shall pay Provider a conversion fee equal to $10,000 per individual as liquidated damages.</w:t>
      </w:r>
    </w:p>
    <w:p>
      <w:pPr>
        <w:spacing w:before="120" w:after="120"/>
        <w:pBdr>
          <w:bottom w:val="single" w:sz="4" w:space="1" w:color="auto"/>
        </w:pBdr>
      </w:pPr>
    </w:p>
    <w:p>
      <w:pPr>
        <w:spacing w:before="160" w:after="120"/>
      </w:pPr>
      <w:r>
        <w:rPr>
          <w:b/>
        </w:rPr>
        <w:t>9. Indemnification</w:t>
      </w:r>
    </w:p>
    <w:p>
      <w:pPr>
        <w:spacing w:after="120"/>
      </w:pPr>
      <w:r>
        <w:rPr>
          <w:b w:val="0"/>
        </w:rPr>
        <w:t>Each party shall be responsible for, and shall indemnify, defend, and hold harmless the other party, its affiliates, officers, employees, and agents from and against any and all third-party claims, damages, liabilities, losses, and expenses (including reasonable attorneys' fees) to the extent arising out of (i) the negligence or willful misconduct of the indemnifying party or its employees, agents, or subcontractors, or (ii) the breach of this Agreement by the indemnifying party. In addition, Provider shall indemnify, defend, and hold harmless Client from and against any such claims, damages, liabilities, losses, and expenses arising out of or related to (a) injury to or death of Provider's employees, agents, or subcontractors while performing services under this Agreement, or (b) damage to Client's equipment, facilities, or cargo resulting from Provider's performance of services, except to the extent caused by Client's negligence, willful misconduct, or failure to provide a reasonably safe work environment.</w:t>
      </w:r>
    </w:p>
    <w:p>
      <w:pPr>
        <w:spacing w:before="120" w:after="120"/>
        <w:pBdr>
          <w:bottom w:val="single" w:sz="4" w:space="1" w:color="auto"/>
        </w:pBdr>
      </w:pPr>
    </w:p>
    <w:p>
      <w:pPr>
        <w:spacing w:before="160" w:after="120"/>
      </w:pPr>
      <w:r>
        <w:rPr>
          <w:b/>
        </w:rPr>
        <w:t>10. Confidentiality</w:t>
      </w:r>
    </w:p>
    <w:p>
      <w:pPr>
        <w:spacing w:after="120"/>
      </w:pPr>
      <w:r>
        <w:rPr>
          <w:b w:val="0"/>
        </w:rPr>
        <w:t>Both parties agree to maintain the confidentiality of proprietary or sensitive information obtained in connection with this Agreement.</w:t>
      </w:r>
    </w:p>
    <w:p>
      <w:pPr>
        <w:spacing w:before="120" w:after="120"/>
        <w:pBdr>
          <w:bottom w:val="single" w:sz="4" w:space="1" w:color="auto"/>
        </w:pBdr>
      </w:pPr>
    </w:p>
    <w:p>
      <w:pPr>
        <w:spacing w:before="160" w:after="120"/>
      </w:pPr>
      <w:r>
        <w:rPr>
          <w:b/>
        </w:rPr>
        <w:t>11. Dispute Resolution</w:t>
      </w:r>
    </w:p>
    <w:p>
      <w:pPr>
        <w:spacing w:after="120"/>
      </w:pPr>
      <w:r>
        <w:rPr>
          <w:b w:val="0"/>
        </w:rPr>
        <w:t>In the event of any dispute, claim, or controversy arising out of or relating to this Agreement, the parties agree to first attempt to resolve the matter through good faith negotiations. If the dispute cannot be resolved informally, the parties agree to submit the matter to mediation in Mecklenburg County, North Carolina. If mediation is unsuccessful, the dispute shall be resolved by binding arbitration under the rules of the American Arbitration Association. Judgment upon the award rendered by the arbitrator may be entered in any court having jurisdiction.</w:t>
      </w:r>
    </w:p>
    <w:p>
      <w:pPr>
        <w:spacing w:before="120" w:after="120"/>
        <w:pBdr>
          <w:bottom w:val="single" w:sz="4" w:space="1" w:color="auto"/>
        </w:pBdr>
      </w:pPr>
    </w:p>
    <w:p>
      <w:pPr>
        <w:spacing w:before="160" w:after="120"/>
      </w:pPr>
      <w:r>
        <w:rPr>
          <w:b/>
        </w:rPr>
        <w:t>12. Entire Agreement</w:t>
      </w:r>
    </w:p>
    <w:p>
      <w:pPr>
        <w:spacing w:after="120"/>
      </w:pPr>
      <w:r>
        <w:rPr>
          <w:b w:val="0"/>
        </w:rPr>
        <w:t>This Agreement constitutes the entire understanding between the parties and supersedes any prior oral or written agreements.</w:t>
      </w:r>
    </w:p>
    <w:p>
      <w:pPr>
        <w:spacing w:before="120" w:after="120"/>
        <w:pBdr>
          <w:bottom w:val="single" w:sz="4" w:space="1" w:color="auto"/>
        </w:pBdr>
      </w:pPr>
    </w:p>
    <w:p>
      <w:pPr>
        <w:spacing w:before="160"/>
      </w:pPr>
      <w:r>
        <w:t>Effective Date: __________________________</w:t>
      </w:r>
    </w:p>
    <w:p/>
    <w:p>
      <w:r>
        <w:rPr>
          <w:b/>
        </w:rPr>
        <w:t>Client: West Logistics, LLC</w:t>
        <w:br/>
      </w:r>
      <w:r>
        <w:t>By: _____________________________________</w:t>
        <w:br/>
        <w:br/>
      </w:r>
      <w:r>
        <w:t>Name: ___________________________________</w:t>
        <w:br/>
      </w:r>
      <w:r>
        <w:t>Title: ____________________________________</w:t>
        <w:br/>
      </w:r>
      <w:r>
        <w:t>Date: ____________________________________</w:t>
        <w:br/>
      </w:r>
    </w:p>
    <w:p/>
    <w:p>
      <w:r>
        <w:rPr>
          <w:b/>
        </w:rPr>
        <w:t>Provider: Carolina Lumper Service, LLC</w:t>
        <w:br/>
      </w:r>
      <w:r>
        <w:t>By: Steve Garay</w:t>
        <w:br/>
      </w:r>
      <w:r>
        <w:t>Title: Owner</w:t>
        <w:br/>
      </w:r>
      <w:r>
        <w:t>Signature: _______________________________</w:t>
        <w:br/>
      </w:r>
      <w:r>
        <w:t>Date: ____________________________________</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