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B03" w:rsidRDefault="000F48FB" w:rsidP="00A61B03">
      <w:pPr>
        <w:pStyle w:val="Heading2"/>
        <w:jc w:val="both"/>
        <w:rPr>
          <w:rFonts w:asciiTheme="minorHAnsi" w:hAnsiTheme="minorHAnsi" w:cstheme="minorHAnsi"/>
          <w:lang w:val="en-GB"/>
        </w:rPr>
      </w:pPr>
      <w:r>
        <w:rPr>
          <w:i/>
          <w:noProof/>
          <w:sz w:val="18"/>
        </w:rPr>
        <w:drawing>
          <wp:anchor distT="0" distB="0" distL="114300" distR="114300" simplePos="0" relativeHeight="251658240" behindDoc="0" locked="0" layoutInCell="1" allowOverlap="1" wp14:anchorId="0348FD3F">
            <wp:simplePos x="0" y="0"/>
            <wp:positionH relativeFrom="margin">
              <wp:align>center</wp:align>
            </wp:positionH>
            <wp:positionV relativeFrom="paragraph">
              <wp:posOffset>572770</wp:posOffset>
            </wp:positionV>
            <wp:extent cx="7134225" cy="549465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49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B03" w:rsidRPr="003A4FD7">
        <w:rPr>
          <w:rFonts w:asciiTheme="minorHAnsi" w:hAnsiTheme="minorHAnsi" w:cstheme="minorHAnsi"/>
          <w:lang w:val="en-GB"/>
        </w:rPr>
        <w:t>S.</w:t>
      </w:r>
      <w:r w:rsidR="00A61B03">
        <w:rPr>
          <w:rFonts w:asciiTheme="minorHAnsi" w:hAnsiTheme="minorHAnsi" w:cstheme="minorHAnsi"/>
          <w:lang w:val="en-GB"/>
        </w:rPr>
        <w:t>5.</w:t>
      </w:r>
      <w:r w:rsidR="004B6692">
        <w:rPr>
          <w:rFonts w:asciiTheme="minorHAnsi" w:hAnsiTheme="minorHAnsi" w:cstheme="minorHAnsi"/>
          <w:lang w:val="en-GB"/>
        </w:rPr>
        <w:t>5</w:t>
      </w:r>
      <w:r w:rsidR="00A61B03" w:rsidRPr="003A4FD7">
        <w:rPr>
          <w:rFonts w:asciiTheme="minorHAnsi" w:hAnsiTheme="minorHAnsi" w:cstheme="minorHAnsi"/>
          <w:lang w:val="en-GB"/>
        </w:rPr>
        <w:t xml:space="preserve"> </w:t>
      </w:r>
      <w:r w:rsidR="004B6692">
        <w:rPr>
          <w:rFonts w:asciiTheme="minorHAnsi" w:hAnsiTheme="minorHAnsi" w:cstheme="minorHAnsi"/>
          <w:lang w:val="en-GB"/>
        </w:rPr>
        <w:t>Coefficient of variation</w:t>
      </w:r>
      <w:r w:rsidR="00EB5961">
        <w:rPr>
          <w:rFonts w:asciiTheme="minorHAnsi" w:hAnsiTheme="minorHAnsi" w:cstheme="minorHAnsi"/>
          <w:lang w:val="en-GB"/>
        </w:rPr>
        <w:t xml:space="preserve"> heatmaps</w:t>
      </w:r>
    </w:p>
    <w:p w:rsidR="001A1673" w:rsidRDefault="001A1673" w:rsidP="00CA531E">
      <w:pPr>
        <w:spacing w:before="240" w:line="360" w:lineRule="auto"/>
        <w:jc w:val="both"/>
        <w:rPr>
          <w:i/>
          <w:sz w:val="18"/>
        </w:rPr>
      </w:pPr>
    </w:p>
    <w:p w:rsidR="001A1673" w:rsidRDefault="00DD0FA5" w:rsidP="001A1673">
      <w:pPr>
        <w:spacing w:before="240" w:line="360" w:lineRule="auto"/>
        <w:jc w:val="both"/>
        <w:rPr>
          <w:i/>
          <w:sz w:val="18"/>
        </w:rPr>
      </w:pPr>
      <w:r>
        <w:rPr>
          <w:i/>
          <w:sz w:val="18"/>
        </w:rPr>
        <w:t>Figure S.5.</w:t>
      </w:r>
      <w:r w:rsidR="001A1673">
        <w:rPr>
          <w:i/>
          <w:sz w:val="18"/>
        </w:rPr>
        <w:t>5.1:</w:t>
      </w:r>
      <w:r w:rsidR="00AD4EF3">
        <w:rPr>
          <w:i/>
          <w:sz w:val="18"/>
        </w:rPr>
        <w:t xml:space="preserve"> heatmaps showing </w:t>
      </w:r>
      <w:r w:rsidR="004B6692">
        <w:rPr>
          <w:i/>
          <w:sz w:val="18"/>
        </w:rPr>
        <w:t>coefficient of variation</w:t>
      </w:r>
      <w:r w:rsidR="001A1673">
        <w:rPr>
          <w:i/>
          <w:sz w:val="18"/>
        </w:rPr>
        <w:t xml:space="preserve"> (CV)</w:t>
      </w:r>
      <w:r w:rsidR="004B6692">
        <w:rPr>
          <w:i/>
          <w:sz w:val="18"/>
        </w:rPr>
        <w:t xml:space="preserve"> values</w:t>
      </w:r>
      <w:r w:rsidR="00AD4EF3">
        <w:rPr>
          <w:i/>
          <w:sz w:val="18"/>
        </w:rPr>
        <w:t xml:space="preserve"> for</w:t>
      </w:r>
      <w:r w:rsidR="001A1673">
        <w:rPr>
          <w:i/>
          <w:sz w:val="18"/>
        </w:rPr>
        <w:t xml:space="preserve"> dispersal in the all grasslands landscape under 12.1 °C (upper) and 15.05 °C (lower). Darker colours indicate higher CV values and therefore more variation in dispersal values.</w:t>
      </w:r>
      <w:r w:rsidR="001A1673">
        <w:rPr>
          <w:i/>
          <w:sz w:val="18"/>
        </w:rPr>
        <w:br w:type="page"/>
      </w:r>
    </w:p>
    <w:p w:rsidR="001A1673" w:rsidRDefault="001A1673" w:rsidP="00CA531E">
      <w:pPr>
        <w:spacing w:before="240" w:line="360" w:lineRule="auto"/>
        <w:jc w:val="both"/>
        <w:rPr>
          <w:i/>
          <w:sz w:val="18"/>
        </w:rPr>
      </w:pPr>
      <w:r>
        <w:rPr>
          <w:i/>
          <w:noProof/>
          <w:sz w:val="18"/>
        </w:rPr>
        <w:lastRenderedPageBreak/>
        <w:drawing>
          <wp:anchor distT="0" distB="0" distL="114300" distR="114300" simplePos="0" relativeHeight="251659264" behindDoc="0" locked="0" layoutInCell="1" allowOverlap="1" wp14:anchorId="05349735">
            <wp:simplePos x="0" y="0"/>
            <wp:positionH relativeFrom="margin">
              <wp:align>center</wp:align>
            </wp:positionH>
            <wp:positionV relativeFrom="paragraph">
              <wp:posOffset>211</wp:posOffset>
            </wp:positionV>
            <wp:extent cx="6971796" cy="5571067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796" cy="5571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31E" w:rsidRDefault="001A1673" w:rsidP="00CA531E">
      <w:pPr>
        <w:spacing w:before="240" w:line="360" w:lineRule="auto"/>
        <w:jc w:val="both"/>
        <w:rPr>
          <w:i/>
          <w:sz w:val="18"/>
        </w:rPr>
      </w:pPr>
      <w:r>
        <w:rPr>
          <w:i/>
          <w:sz w:val="18"/>
        </w:rPr>
        <w:t>Figure S.5.5.</w:t>
      </w:r>
      <w:r>
        <w:rPr>
          <w:i/>
          <w:sz w:val="18"/>
        </w:rPr>
        <w:t>2</w:t>
      </w:r>
      <w:r>
        <w:rPr>
          <w:i/>
          <w:sz w:val="18"/>
        </w:rPr>
        <w:t xml:space="preserve">: heatmaps showing coefficient of variation (CV) values for </w:t>
      </w:r>
      <w:r>
        <w:rPr>
          <w:i/>
          <w:sz w:val="18"/>
        </w:rPr>
        <w:t>fecundity</w:t>
      </w:r>
      <w:r>
        <w:rPr>
          <w:i/>
          <w:sz w:val="18"/>
        </w:rPr>
        <w:t xml:space="preserve"> in the all grasslands landscape under 12.1 °C (upper) and 15.05 °C (lower). Darker colours indicate higher CV values and therefore more variation in </w:t>
      </w:r>
      <w:r w:rsidR="007A65F8">
        <w:rPr>
          <w:i/>
          <w:sz w:val="18"/>
        </w:rPr>
        <w:t>fecundity</w:t>
      </w:r>
      <w:r>
        <w:rPr>
          <w:i/>
          <w:sz w:val="18"/>
        </w:rPr>
        <w:t xml:space="preserve"> values.</w:t>
      </w:r>
      <w:r w:rsidR="00CA531E">
        <w:rPr>
          <w:i/>
          <w:sz w:val="18"/>
        </w:rPr>
        <w:br w:type="page"/>
      </w:r>
    </w:p>
    <w:p w:rsidR="008D7EA5" w:rsidRDefault="008D7EA5" w:rsidP="00CA531E">
      <w:pPr>
        <w:spacing w:before="240" w:line="360" w:lineRule="auto"/>
        <w:jc w:val="both"/>
        <w:rPr>
          <w:i/>
          <w:sz w:val="18"/>
        </w:rPr>
      </w:pPr>
      <w:r>
        <w:rPr>
          <w:i/>
          <w:noProof/>
          <w:sz w:val="18"/>
        </w:rPr>
        <w:lastRenderedPageBreak/>
        <w:drawing>
          <wp:anchor distT="0" distB="0" distL="114300" distR="114300" simplePos="0" relativeHeight="251660288" behindDoc="0" locked="0" layoutInCell="1" allowOverlap="1" wp14:anchorId="4DFDF92A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6880860" cy="5443855"/>
            <wp:effectExtent l="0" t="0" r="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5443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EA5" w:rsidRDefault="008D7EA5" w:rsidP="008D7EA5">
      <w:pPr>
        <w:spacing w:before="240" w:line="360" w:lineRule="auto"/>
        <w:jc w:val="both"/>
        <w:rPr>
          <w:i/>
          <w:sz w:val="18"/>
        </w:rPr>
      </w:pPr>
      <w:r>
        <w:rPr>
          <w:i/>
          <w:sz w:val="18"/>
        </w:rPr>
        <w:t>Figure S.5.5.</w:t>
      </w:r>
      <w:r>
        <w:rPr>
          <w:i/>
          <w:sz w:val="18"/>
        </w:rPr>
        <w:t>3</w:t>
      </w:r>
      <w:r>
        <w:rPr>
          <w:i/>
          <w:sz w:val="18"/>
        </w:rPr>
        <w:t xml:space="preserve">: heatmaps showing coefficient of variation (CV) values for </w:t>
      </w:r>
      <w:r>
        <w:rPr>
          <w:i/>
          <w:sz w:val="18"/>
        </w:rPr>
        <w:t>body size</w:t>
      </w:r>
      <w:r>
        <w:rPr>
          <w:i/>
          <w:sz w:val="18"/>
        </w:rPr>
        <w:t xml:space="preserve"> in the all grasslands landscape under 12.1 °C (upper) and 15.05 °C (lower). Darker colours indicate higher CV values and therefore more variation in </w:t>
      </w:r>
      <w:r>
        <w:rPr>
          <w:i/>
          <w:sz w:val="18"/>
        </w:rPr>
        <w:t xml:space="preserve">size </w:t>
      </w:r>
      <w:r>
        <w:rPr>
          <w:i/>
          <w:sz w:val="18"/>
        </w:rPr>
        <w:t>values.</w:t>
      </w:r>
      <w:r>
        <w:rPr>
          <w:i/>
          <w:sz w:val="18"/>
        </w:rPr>
        <w:br w:type="page"/>
      </w:r>
    </w:p>
    <w:p w:rsidR="008D7EA5" w:rsidRDefault="008D7EA5" w:rsidP="00CA531E">
      <w:pPr>
        <w:spacing w:before="240" w:line="360" w:lineRule="auto"/>
        <w:jc w:val="both"/>
        <w:rPr>
          <w:i/>
          <w:sz w:val="18"/>
        </w:rPr>
      </w:pPr>
      <w:r>
        <w:rPr>
          <w:i/>
          <w:noProof/>
          <w:sz w:val="18"/>
        </w:rPr>
        <w:lastRenderedPageBreak/>
        <w:drawing>
          <wp:anchor distT="0" distB="0" distL="114300" distR="114300" simplePos="0" relativeHeight="251661312" behindDoc="0" locked="0" layoutInCell="1" allowOverlap="1" wp14:anchorId="3B49E495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6901392" cy="5349393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392" cy="5349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EA5" w:rsidRDefault="008D7EA5" w:rsidP="008D7EA5">
      <w:pPr>
        <w:spacing w:before="240" w:line="360" w:lineRule="auto"/>
        <w:jc w:val="both"/>
        <w:rPr>
          <w:i/>
          <w:sz w:val="18"/>
        </w:rPr>
      </w:pPr>
      <w:r>
        <w:rPr>
          <w:i/>
          <w:sz w:val="18"/>
        </w:rPr>
        <w:t>Figure S.5.5.</w:t>
      </w:r>
      <w:r>
        <w:rPr>
          <w:i/>
          <w:sz w:val="18"/>
        </w:rPr>
        <w:t>4</w:t>
      </w:r>
      <w:r>
        <w:rPr>
          <w:i/>
          <w:sz w:val="18"/>
        </w:rPr>
        <w:t xml:space="preserve">: heatmaps showing coefficient of variation (CV) values for </w:t>
      </w:r>
      <w:r>
        <w:rPr>
          <w:i/>
          <w:sz w:val="18"/>
        </w:rPr>
        <w:t>thermal optimum</w:t>
      </w:r>
      <w:r>
        <w:rPr>
          <w:i/>
          <w:sz w:val="18"/>
        </w:rPr>
        <w:t xml:space="preserve"> in the all grasslands landscape under 12.1 °C (upper) and 15.05 °C (lower). Darker colours indicate higher CV values and therefore more variation in </w:t>
      </w:r>
      <w:r>
        <w:rPr>
          <w:i/>
          <w:sz w:val="18"/>
        </w:rPr>
        <w:t>thermal optimum</w:t>
      </w:r>
      <w:r>
        <w:rPr>
          <w:i/>
          <w:sz w:val="18"/>
        </w:rPr>
        <w:t xml:space="preserve"> values.</w:t>
      </w:r>
      <w:r>
        <w:rPr>
          <w:i/>
          <w:sz w:val="18"/>
        </w:rPr>
        <w:br w:type="page"/>
      </w:r>
    </w:p>
    <w:p w:rsidR="008D7EA5" w:rsidRDefault="008D7EA5" w:rsidP="00CA531E">
      <w:pPr>
        <w:spacing w:before="240" w:line="360" w:lineRule="auto"/>
        <w:jc w:val="both"/>
        <w:rPr>
          <w:i/>
          <w:sz w:val="18"/>
        </w:rPr>
      </w:pPr>
      <w:r>
        <w:rPr>
          <w:i/>
          <w:noProof/>
          <w:sz w:val="18"/>
        </w:rPr>
        <w:lastRenderedPageBreak/>
        <w:drawing>
          <wp:anchor distT="0" distB="0" distL="114300" distR="114300" simplePos="0" relativeHeight="251662336" behindDoc="0" locked="0" layoutInCell="1" allowOverlap="1" wp14:anchorId="3720C9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78862" cy="5427136"/>
            <wp:effectExtent l="0" t="0" r="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862" cy="5427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1E5" w:rsidRPr="00D06726" w:rsidRDefault="008D7EA5" w:rsidP="00CA531E">
      <w:pPr>
        <w:spacing w:before="240" w:line="360" w:lineRule="auto"/>
        <w:jc w:val="both"/>
        <w:rPr>
          <w:i/>
          <w:sz w:val="18"/>
        </w:rPr>
      </w:pPr>
      <w:r>
        <w:rPr>
          <w:i/>
          <w:sz w:val="18"/>
        </w:rPr>
        <w:t>Figure S.5.5.</w:t>
      </w:r>
      <w:r>
        <w:rPr>
          <w:i/>
          <w:sz w:val="18"/>
        </w:rPr>
        <w:t>5</w:t>
      </w:r>
      <w:r>
        <w:rPr>
          <w:i/>
          <w:sz w:val="18"/>
        </w:rPr>
        <w:t xml:space="preserve">: heatmaps showing coefficient of variation (CV) values for thermal </w:t>
      </w:r>
      <w:r>
        <w:rPr>
          <w:i/>
          <w:sz w:val="18"/>
        </w:rPr>
        <w:t xml:space="preserve">breadth </w:t>
      </w:r>
      <w:r>
        <w:rPr>
          <w:i/>
          <w:sz w:val="18"/>
        </w:rPr>
        <w:t xml:space="preserve">in the all grasslands landscape under 12.1 °C (upper) and 15.05 °C (lower). Darker colours indicate higher CV values and therefore more variation in thermal </w:t>
      </w:r>
      <w:r>
        <w:rPr>
          <w:i/>
          <w:sz w:val="18"/>
        </w:rPr>
        <w:t xml:space="preserve">breadth </w:t>
      </w:r>
      <w:r>
        <w:rPr>
          <w:i/>
          <w:sz w:val="18"/>
        </w:rPr>
        <w:t>values.</w:t>
      </w:r>
      <w:bookmarkStart w:id="0" w:name="_GoBack"/>
      <w:bookmarkEnd w:id="0"/>
    </w:p>
    <w:sectPr w:rsidR="008D01E5" w:rsidRPr="00D067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B03"/>
    <w:rsid w:val="000C6FCC"/>
    <w:rsid w:val="000F48FB"/>
    <w:rsid w:val="0014462A"/>
    <w:rsid w:val="001A1673"/>
    <w:rsid w:val="001F1761"/>
    <w:rsid w:val="00245F24"/>
    <w:rsid w:val="004B6692"/>
    <w:rsid w:val="005125A4"/>
    <w:rsid w:val="00542419"/>
    <w:rsid w:val="005654B8"/>
    <w:rsid w:val="00650F5E"/>
    <w:rsid w:val="006C4FE5"/>
    <w:rsid w:val="007A65F8"/>
    <w:rsid w:val="008D01E5"/>
    <w:rsid w:val="008D7EA5"/>
    <w:rsid w:val="009575C0"/>
    <w:rsid w:val="00960006"/>
    <w:rsid w:val="009A2C98"/>
    <w:rsid w:val="00A61B03"/>
    <w:rsid w:val="00AD4EF3"/>
    <w:rsid w:val="00B12B97"/>
    <w:rsid w:val="00B63830"/>
    <w:rsid w:val="00CA531E"/>
    <w:rsid w:val="00CB247F"/>
    <w:rsid w:val="00D06726"/>
    <w:rsid w:val="00DD0FA5"/>
    <w:rsid w:val="00DF037E"/>
    <w:rsid w:val="00E66737"/>
    <w:rsid w:val="00EB5961"/>
    <w:rsid w:val="00FE5A64"/>
    <w:rsid w:val="00FE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14DA0"/>
  <w15:chartTrackingRefBased/>
  <w15:docId w15:val="{FFD5E171-8A58-4D12-80D6-667207879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A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61B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nl-BE" w:eastAsia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1B03"/>
    <w:rPr>
      <w:rFonts w:ascii="Times New Roman" w:eastAsia="Times New Roman" w:hAnsi="Times New Roman" w:cs="Times New Roman"/>
      <w:b/>
      <w:bCs/>
      <w:sz w:val="36"/>
      <w:szCs w:val="36"/>
      <w:lang w:eastAsia="nl-BE"/>
    </w:rPr>
  </w:style>
  <w:style w:type="character" w:customStyle="1" w:styleId="Heading1Char">
    <w:name w:val="Heading 1 Char"/>
    <w:basedOn w:val="DefaultParagraphFont"/>
    <w:link w:val="Heading1"/>
    <w:uiPriority w:val="9"/>
    <w:rsid w:val="00FE5A6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NormalWeb">
    <w:name w:val="Normal (Web)"/>
    <w:basedOn w:val="Normal"/>
    <w:uiPriority w:val="99"/>
    <w:semiHidden/>
    <w:unhideWhenUsed/>
    <w:rsid w:val="00EB596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BE"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5</Pages>
  <Words>204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Garben Logghe</dc:creator>
  <cp:keywords/>
  <dc:description/>
  <cp:lastModifiedBy>Garben Logghe</cp:lastModifiedBy>
  <cp:revision>4</cp:revision>
  <dcterms:created xsi:type="dcterms:W3CDTF">2025-05-20T15:03:00Z</dcterms:created>
  <dcterms:modified xsi:type="dcterms:W3CDTF">2025-05-21T16:37:00Z</dcterms:modified>
</cp:coreProperties>
</file>