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Actividad 1.6 · Primera revisión de fuentes</w:t>
      </w:r>
    </w:p>
    <w:p>
      <w:pPr/>
      <w:r>
        <w:t xml:space="preserve">12 de octubre de 2026</w:t>
      </w:r>
      <w:r>
        <w:t xml:space="preserve"> · </w:t>
      </w:r>
      <w:r>
        <w:t xml:space="preserve">Gael Eduardo García Pinacho y Daniel González Ruiz</w:t>
      </w:r>
    </w:p>
    <w:p>
      <w:pPr>
        <w:pStyle w:val="Heading2"/>
      </w:pPr>
      <w:r>
        <w:t xml:space="preserve">Tema de investigación</w:t>
      </w:r>
    </w:p>
    <w:p>
      <w:pPr/>
      <w:r>
        <w:rPr>
          <w:b/>
        </w:rPr>
        <w:t xml:space="preserve">Tema candidato:</w:t>
      </w:r>
      <w:r>
        <w:t xml:space="preserve"> efecto del uso de inteligencia artificial generativa (ChatGPT y herramientas similares) en la comprensión lectora y la redacción de estudiantes universitarios.</w:t>
      </w:r>
    </w:p>
    <w:p>
      <w:pPr/>
      <w:r>
        <w:rPr>
          <w:b/>
        </w:rPr>
        <w:t xml:space="preserve">Pregunta guía:</w:t>
      </w:r>
      <w:r>
        <w:t xml:space="preserve"> ¿cómo cambia el uso de IA generativa la forma en que los universitarios leen, comprenden y redactan textos académicos, y qué estrategias o herramientas reducen sus efectos negativos?</w:t>
      </w:r>
    </w:p>
    <w:p>
      <w:pPr/>
      <w:r>
        <w:rPr>
          <w:b/>
        </w:rPr>
        <w:t xml:space="preserve">Producto de la actividad 1.6:</w:t>
      </w:r>
      <w:r>
        <w:t xml:space="preserve"> matriz de fuentes evaluadas con los cinco criterios del tema 1.6 (actualidad, relevancia, autoridad, exactitud y propósito) y lista de referencias en un solo estilo (APA 7).</w:t>
      </w:r>
    </w:p>
    <w:p>
      <w:pPr>
        <w:pStyle w:val="Heading2"/>
      </w:pPr>
      <w:r>
        <w:t xml:space="preserve">Estrategia de búsqueda</w:t>
      </w:r>
    </w:p>
    <w:p>
      <w:pPr/>
      <w:r>
        <w:t xml:space="preserve">La búsqueda se hizo el 12 de octubre de 2026 siguiendo los cuatro pasos del tema 1.6: definir, combinar, filtrar y registrar.</w:t>
      </w:r>
    </w:p>
    <w:tbl>
      <w:tblPr>
        <w:tblStyle w:val="TableGrid"/>
        <w:tblW w:w="0" w:type="auto"/>
        <w:tblLayout w:type="fixed"/>
        <w:tblLook w:val="04A0" w:firstRow="1" w:lastRow="0" w:firstColumn="0" w:lastColumn="0" w:noHBand="0" w:noVBand="1"/>
      </w:tblPr>
      <w:tblGrid>
        <w:gridCol w:w="2000"/>
        <w:gridCol w:w="11680"/>
      </w:tblGrid>
      <w:tr>
        <w:trPr>
          <w:tblHeader/>
        </w:trPr>
        <w:tc>
          <w:tcPr>
            <w:tcW w:w="2000" w:type="dxa"/>
            <w:shd w:val="clear" w:color="auto" w:fill="F2F2F2"/>
          </w:tcPr>
          <w:p>
            <w:pPr>
              <w:spacing w:after="40" w:line="240" w:lineRule="auto"/>
            </w:pPr>
            <w:r>
              <w:rPr>
                <w:sz w:val="18"/>
                <w:szCs w:val="18"/>
              </w:rPr>
              <w:t xml:space="preserve">Paso</w:t>
            </w:r>
          </w:p>
        </w:tc>
        <w:tc>
          <w:tcPr>
            <w:tcW w:w="11680" w:type="dxa"/>
            <w:shd w:val="clear" w:color="auto" w:fill="F2F2F2"/>
          </w:tcPr>
          <w:p>
            <w:pPr>
              <w:spacing w:after="40" w:line="240" w:lineRule="auto"/>
            </w:pPr>
            <w:r>
              <w:rPr>
                <w:sz w:val="18"/>
                <w:szCs w:val="18"/>
              </w:rPr>
              <w:t xml:space="preserve">Qué se hizo</w:t>
            </w:r>
          </w:p>
        </w:tc>
      </w:tr>
      <w:tr>
        <w:tc>
          <w:tcPr>
            <w:tcW w:w="2000" w:type="dxa"/>
          </w:tcPr>
          <w:p>
            <w:pPr>
              <w:spacing w:after="40" w:line="240" w:lineRule="auto"/>
            </w:pPr>
            <w:r>
              <w:rPr>
                <w:sz w:val="18"/>
                <w:szCs w:val="18"/>
              </w:rPr>
              <w:t xml:space="preserve">Definir</w:t>
            </w:r>
          </w:p>
        </w:tc>
        <w:tc>
          <w:tcPr>
            <w:tcW w:w="11680" w:type="dxa"/>
          </w:tcPr>
          <w:p>
            <w:pPr>
              <w:spacing w:after="40" w:line="240" w:lineRule="auto"/>
            </w:pPr>
            <w:r>
              <w:rPr>
                <w:sz w:val="18"/>
                <w:szCs w:val="18"/>
              </w:rPr>
              <w:t xml:space="preserve">Palabras clave en español e inglés: inteligencia artificial generativa, ChatGPT, comprensión lectora, escritura académica, estudiantes universitarios, dependencia, </w:t>
            </w:r>
            <w:r>
              <w:rPr>
                <w:sz w:val="18"/>
                <w:szCs w:val="18"/>
                <w:i/>
              </w:rPr>
              <w:t xml:space="preserve">reading comprehension</w:t>
            </w:r>
            <w:r>
              <w:rPr>
                <w:sz w:val="18"/>
                <w:szCs w:val="18"/>
              </w:rPr>
              <w:t xml:space="preserve">, </w:t>
            </w:r>
            <w:r>
              <w:rPr>
                <w:sz w:val="18"/>
                <w:szCs w:val="18"/>
                <w:i/>
              </w:rPr>
              <w:t xml:space="preserve">academic writing</w:t>
            </w:r>
            <w:r>
              <w:rPr>
                <w:sz w:val="18"/>
                <w:szCs w:val="18"/>
              </w:rPr>
              <w:t xml:space="preserve">, </w:t>
            </w:r>
            <w:r>
              <w:rPr>
                <w:sz w:val="18"/>
                <w:szCs w:val="18"/>
                <w:i/>
              </w:rPr>
              <w:t xml:space="preserve">cognitive offloading</w:t>
            </w:r>
            <w:r>
              <w:rPr>
                <w:sz w:val="18"/>
                <w:szCs w:val="18"/>
              </w:rPr>
              <w:t xml:space="preserve">, </w:t>
            </w:r>
            <w:r>
              <w:rPr>
                <w:sz w:val="18"/>
                <w:szCs w:val="18"/>
                <w:i/>
              </w:rPr>
              <w:t xml:space="preserve">over-reliance</w:t>
            </w:r>
          </w:p>
        </w:tc>
      </w:tr>
      <w:tr>
        <w:tc>
          <w:tcPr>
            <w:tcW w:w="2000" w:type="dxa"/>
          </w:tcPr>
          <w:p>
            <w:pPr>
              <w:spacing w:after="40" w:line="240" w:lineRule="auto"/>
            </w:pPr>
            <w:r>
              <w:rPr>
                <w:sz w:val="18"/>
                <w:szCs w:val="18"/>
              </w:rPr>
              <w:t xml:space="preserve">Combinar</w:t>
            </w:r>
          </w:p>
        </w:tc>
        <w:tc>
          <w:tcPr>
            <w:tcW w:w="11680" w:type="dxa"/>
          </w:tcPr>
          <w:p>
            <w:pPr>
              <w:spacing w:after="40" w:line="240" w:lineRule="auto"/>
            </w:pPr>
            <w:r>
              <w:rPr>
                <w:sz w:val="18"/>
                <w:szCs w:val="18"/>
                <w:rStyle w:val="CodeChar"/>
              </w:rPr>
              <w:t xml:space="preserve">("inteligencia artificial generativa" OR ChatGPT) AND ("comprensión lectora" OR "escritura académica") AND universitarios</w:t>
            </w:r>
            <w:r>
              <w:rPr>
                <w:sz w:val="18"/>
                <w:szCs w:val="18"/>
              </w:rPr>
              <w:t xml:space="preserve"> y </w:t>
            </w:r>
            <w:r>
              <w:rPr>
                <w:sz w:val="18"/>
                <w:szCs w:val="18"/>
                <w:rStyle w:val="CodeChar"/>
              </w:rPr>
              <w:t xml:space="preserve">(ChatGPT OR "generative AI" OR LLM) AND ("reading comprehension" OR "essay writing") AND ("university students" OR undergraduate)</w:t>
            </w:r>
          </w:p>
        </w:tc>
      </w:tr>
      <w:tr>
        <w:tc>
          <w:tcPr>
            <w:tcW w:w="2000" w:type="dxa"/>
          </w:tcPr>
          <w:p>
            <w:pPr>
              <w:spacing w:after="40" w:line="240" w:lineRule="auto"/>
            </w:pPr>
            <w:r>
              <w:rPr>
                <w:sz w:val="18"/>
                <w:szCs w:val="18"/>
              </w:rPr>
              <w:t xml:space="preserve">Filtrar</w:t>
            </w:r>
          </w:p>
        </w:tc>
        <w:tc>
          <w:tcPr>
            <w:tcW w:w="11680" w:type="dxa"/>
          </w:tcPr>
          <w:p>
            <w:pPr>
              <w:spacing w:after="40" w:line="240" w:lineRule="auto"/>
            </w:pPr>
            <w:r>
              <w:rPr>
                <w:sz w:val="18"/>
                <w:szCs w:val="18"/>
              </w:rPr>
              <w:t xml:space="preserve">Años 2023 a 2026 (ChatGPT se lanzó a fines de 2022). Idiomas español e inglés. Solo estudios con población universitaria o documentos institucionales de educación superior</w:t>
            </w:r>
          </w:p>
        </w:tc>
      </w:tr>
      <w:tr>
        <w:tc>
          <w:tcPr>
            <w:tcW w:w="2000" w:type="dxa"/>
          </w:tcPr>
          <w:p>
            <w:pPr>
              <w:spacing w:after="40" w:line="240" w:lineRule="auto"/>
            </w:pPr>
            <w:r>
              <w:rPr>
                <w:sz w:val="18"/>
                <w:szCs w:val="18"/>
              </w:rPr>
              <w:t xml:space="preserve">Registrar</w:t>
            </w:r>
          </w:p>
        </w:tc>
        <w:tc>
          <w:tcPr>
            <w:tcW w:w="11680" w:type="dxa"/>
          </w:tcPr>
          <w:p>
            <w:pPr>
              <w:spacing w:after="40" w:line="240" w:lineRule="auto"/>
            </w:pPr>
            <w:r>
              <w:rPr>
                <w:sz w:val="18"/>
                <w:szCs w:val="18"/>
              </w:rPr>
              <w:t xml:space="preserve">Cada fuente se anotó con su DOI o enlace permanente y se comprobó en Crossref, OpenAlex, arXiv o el repositorio de origen</w:t>
            </w:r>
          </w:p>
        </w:tc>
      </w:tr>
    </w:tbl>
    <w:p>
      <w:pPr/>
      <w:r>
        <w:rPr>
          <w:b/>
        </w:rPr>
        <w:t xml:space="preserve">Dónde se buscó:</w:t>
      </w:r>
      <w:r>
        <w:t xml:space="preserve"> buscador web académico para la exploración inicial, Crossref y OpenAlex para confirmar metadatos, arXiv para el preprint, repositorios institucionales (USAT) para la tesis y sitios institucionales (UNESCO, UNAM, HEPI) para la literatura gris.</w:t>
      </w:r>
    </w:p>
    <w:p>
      <w:pPr/>
      <w:r>
        <w:rPr>
          <w:b/>
        </w:rPr>
        <w:t xml:space="preserve">Fuente descartada:</w:t>
      </w:r>
      <w:r>
        <w:t xml:space="preserve"> el metaanálisis de Wang y Fan (2025) en </w:t>
      </w:r>
      <w:r>
        <w:rPr>
          <w:i/>
        </w:rPr>
        <w:t xml:space="preserve">Humanities and Social Sciences Communications</w:t>
      </w:r>
      <w:r>
        <w:t xml:space="preserve"> aparece mucho en las búsquedas, pero la revista lo retractó en abril de 2026 (</w:t>
      </w:r>
      <w:hyperlink r:id="rId3" w:history="1">
        <w:r>
          <w:rPr>
            <w:rStyle w:val="Hyperlink"/>
          </w:rPr>
          <w:t xml:space="preserve">nota de retractación</w:t>
        </w:r>
      </w:hyperlink>
      <w:r>
        <w:t xml:space="preserve">). No pasa el criterio de exactitud y quedó fuera.</w:t>
      </w:r>
    </w:p>
    <w:p>
      <w:pPr>
        <w:pStyle w:val="Heading2"/>
      </w:pPr>
      <w:r>
        <w:t xml:space="preserve">Matriz de fuentes evaluadas</w:t>
      </w:r>
    </w:p>
    <w:p>
      <w:pPr/>
      <w:r>
        <w:t xml:space="preserve">Se reunieron 14 fuentes: 7 primarias, 3 secundarias y 4 de literatura gris. Cada una se evalúa con las cinco preguntas del tema 1.6. Las citas en OpenAlex se consultaron el 12 de octubre de 2026.</w:t>
      </w:r>
    </w:p>
    <w:tbl>
      <w:tblPr>
        <w:tblStyle w:val="TableGrid"/>
        <w:tblW w:w="0" w:type="auto"/>
        <w:tblLayout w:type="fixed"/>
        <w:tblLook w:val="04A0" w:firstRow="1" w:lastRow="0" w:firstColumn="0" w:lastColumn="0" w:noHBand="0" w:noVBand="1"/>
      </w:tblPr>
      <w:tblGrid>
        <w:gridCol w:w="500"/>
        <w:gridCol w:w="1500"/>
        <w:gridCol w:w="1500"/>
        <w:gridCol w:w="1500"/>
        <w:gridCol w:w="2100"/>
        <w:gridCol w:w="2200"/>
        <w:gridCol w:w="2880"/>
        <w:gridCol w:w="1500"/>
      </w:tblGrid>
      <w:tr>
        <w:trPr>
          <w:tblHeader/>
        </w:trPr>
        <w:tc>
          <w:tcPr>
            <w:tcW w:w="500" w:type="dxa"/>
            <w:shd w:val="clear" w:color="auto" w:fill="F2F2F2"/>
          </w:tcPr>
          <w:p>
            <w:pPr>
              <w:spacing w:after="40" w:line="240" w:lineRule="auto"/>
            </w:pPr>
            <w:r>
              <w:rPr>
                <w:sz w:val="18"/>
                <w:szCs w:val="18"/>
              </w:rPr>
              <w:t xml:space="preserve">N.º</w:t>
            </w:r>
          </w:p>
        </w:tc>
        <w:tc>
          <w:tcPr>
            <w:tcW w:w="1500" w:type="dxa"/>
            <w:shd w:val="clear" w:color="auto" w:fill="F2F2F2"/>
          </w:tcPr>
          <w:p>
            <w:pPr>
              <w:spacing w:after="40" w:line="240" w:lineRule="auto"/>
            </w:pPr>
            <w:r>
              <w:rPr>
                <w:sz w:val="18"/>
                <w:szCs w:val="18"/>
              </w:rPr>
              <w:t xml:space="preserve">Fuente</w:t>
            </w:r>
          </w:p>
        </w:tc>
        <w:tc>
          <w:tcPr>
            <w:tcW w:w="1500" w:type="dxa"/>
            <w:shd w:val="clear" w:color="auto" w:fill="F2F2F2"/>
          </w:tcPr>
          <w:p>
            <w:pPr>
              <w:spacing w:after="40" w:line="240" w:lineRule="auto"/>
            </w:pPr>
            <w:r>
              <w:rPr>
                <w:sz w:val="18"/>
                <w:szCs w:val="18"/>
              </w:rPr>
              <w:t xml:space="preserve">Tipo</w:t>
            </w:r>
          </w:p>
        </w:tc>
        <w:tc>
          <w:tcPr>
            <w:tcW w:w="1500" w:type="dxa"/>
            <w:shd w:val="clear" w:color="auto" w:fill="F2F2F2"/>
          </w:tcPr>
          <w:p>
            <w:pPr>
              <w:spacing w:after="40" w:line="240" w:lineRule="auto"/>
            </w:pPr>
            <w:r>
              <w:rPr>
                <w:sz w:val="18"/>
                <w:szCs w:val="18"/>
              </w:rPr>
              <w:t xml:space="preserve">Actualidad: ¿sigue vigente?</w:t>
            </w:r>
          </w:p>
        </w:tc>
        <w:tc>
          <w:tcPr>
            <w:tcW w:w="2100" w:type="dxa"/>
            <w:shd w:val="clear" w:color="auto" w:fill="F2F2F2"/>
          </w:tcPr>
          <w:p>
            <w:pPr>
              <w:spacing w:after="40" w:line="240" w:lineRule="auto"/>
            </w:pPr>
            <w:r>
              <w:rPr>
                <w:sz w:val="18"/>
                <w:szCs w:val="18"/>
              </w:rPr>
              <w:t xml:space="preserve">Relevancia: ¿responde a mi tema?</w:t>
            </w:r>
          </w:p>
        </w:tc>
        <w:tc>
          <w:tcPr>
            <w:tcW w:w="2200" w:type="dxa"/>
            <w:shd w:val="clear" w:color="auto" w:fill="F2F2F2"/>
          </w:tcPr>
          <w:p>
            <w:pPr>
              <w:spacing w:after="40" w:line="240" w:lineRule="auto"/>
            </w:pPr>
            <w:r>
              <w:rPr>
                <w:sz w:val="18"/>
                <w:szCs w:val="18"/>
              </w:rPr>
              <w:t xml:space="preserve">Autoridad: ¿quién respalda?</w:t>
            </w:r>
          </w:p>
        </w:tc>
        <w:tc>
          <w:tcPr>
            <w:tcW w:w="2880" w:type="dxa"/>
            <w:shd w:val="clear" w:color="auto" w:fill="F2F2F2"/>
          </w:tcPr>
          <w:p>
            <w:pPr>
              <w:spacing w:after="40" w:line="240" w:lineRule="auto"/>
            </w:pPr>
            <w:r>
              <w:rPr>
                <w:sz w:val="18"/>
                <w:szCs w:val="18"/>
              </w:rPr>
              <w:t xml:space="preserve">Exactitud: ¿presenta evidencia?</w:t>
            </w:r>
          </w:p>
        </w:tc>
        <w:tc>
          <w:tcPr>
            <w:tcW w:w="1500" w:type="dxa"/>
            <w:shd w:val="clear" w:color="auto" w:fill="F2F2F2"/>
          </w:tcPr>
          <w:p>
            <w:pPr>
              <w:spacing w:after="40" w:line="240" w:lineRule="auto"/>
            </w:pPr>
            <w:r>
              <w:rPr>
                <w:sz w:val="18"/>
                <w:szCs w:val="18"/>
              </w:rPr>
              <w:t xml:space="preserve">Propósito: ¿para qué fue creada?</w:t>
            </w:r>
          </w:p>
        </w:tc>
      </w:tr>
      <w:tr>
        <w:tc>
          <w:tcPr>
            <w:tcW w:w="500" w:type="dxa"/>
          </w:tcPr>
          <w:p>
            <w:pPr>
              <w:spacing w:after="40" w:line="240" w:lineRule="auto"/>
            </w:pPr>
            <w:r>
              <w:rPr>
                <w:sz w:val="18"/>
                <w:szCs w:val="18"/>
              </w:rPr>
              <w:t xml:space="preserve">1</w:t>
            </w:r>
          </w:p>
        </w:tc>
        <w:tc>
          <w:tcPr>
            <w:tcW w:w="1500" w:type="dxa"/>
          </w:tcPr>
          <w:p>
            <w:pPr>
              <w:spacing w:after="40" w:line="240" w:lineRule="auto"/>
            </w:pPr>
            <w:hyperlink r:id="rId4" w:history="1">
              <w:r>
                <w:rPr>
                  <w:sz w:val="18"/>
                  <w:szCs w:val="18"/>
                  <w:rStyle w:val="Hyperlink"/>
                </w:rPr>
                <w:t xml:space="preserve">Fan et al. (2025)</w:t>
              </w:r>
            </w:hyperlink>
          </w:p>
        </w:tc>
        <w:tc>
          <w:tcPr>
            <w:tcW w:w="1500" w:type="dxa"/>
          </w:tcPr>
          <w:p>
            <w:pPr>
              <w:spacing w:after="40" w:line="240" w:lineRule="auto"/>
            </w:pPr>
            <w:r>
              <w:rPr>
                <w:sz w:val="18"/>
                <w:szCs w:val="18"/>
              </w:rPr>
              <w:t xml:space="preserve">Primaria. Experimento aleatorizado</w:t>
            </w:r>
          </w:p>
        </w:tc>
        <w:tc>
          <w:tcPr>
            <w:tcW w:w="1500" w:type="dxa"/>
          </w:tcPr>
          <w:p>
            <w:pPr>
              <w:spacing w:after="40" w:line="240" w:lineRule="auto"/>
            </w:pPr>
            <w:r>
              <w:rPr>
                <w:sz w:val="18"/>
                <w:szCs w:val="18"/>
              </w:rPr>
              <w:t xml:space="preserve">2025. Vigente</w:t>
            </w:r>
          </w:p>
        </w:tc>
        <w:tc>
          <w:tcPr>
            <w:tcW w:w="2100" w:type="dxa"/>
          </w:tcPr>
          <w:p>
            <w:pPr>
              <w:spacing w:after="40" w:line="240" w:lineRule="auto"/>
            </w:pPr>
            <w:r>
              <w:rPr>
                <w:sz w:val="18"/>
                <w:szCs w:val="18"/>
              </w:rPr>
              <w:t xml:space="preserve">Alta. Tarea de lectura y escritura de ensayo con apoyo de ChatGPT</w:t>
            </w:r>
          </w:p>
        </w:tc>
        <w:tc>
          <w:tcPr>
            <w:tcW w:w="2200" w:type="dxa"/>
          </w:tcPr>
          <w:p>
            <w:pPr>
              <w:spacing w:after="40" w:line="240" w:lineRule="auto"/>
            </w:pPr>
            <w:r>
              <w:rPr>
                <w:sz w:val="18"/>
                <w:szCs w:val="18"/>
                <w:i/>
              </w:rPr>
              <w:t xml:space="preserve">British Journal of Educational Technology</w:t>
            </w:r>
            <w:r>
              <w:rPr>
                <w:sz w:val="18"/>
                <w:szCs w:val="18"/>
              </w:rPr>
              <w:t xml:space="preserve"> (Wiley), revisada por pares. 724 citas</w:t>
            </w:r>
          </w:p>
        </w:tc>
        <w:tc>
          <w:tcPr>
            <w:tcW w:w="2880" w:type="dxa"/>
          </w:tcPr>
          <w:p>
            <w:pPr>
              <w:spacing w:after="40" w:line="240" w:lineRule="auto"/>
            </w:pPr>
            <w:r>
              <w:rPr>
                <w:sz w:val="18"/>
                <w:szCs w:val="18"/>
              </w:rPr>
              <w:t xml:space="preserve">117 universitarios en cuatro grupos. El grupo ChatGPT mejoró más el ensayo, pero no ganó más conocimiento ni transferencia</w:t>
            </w:r>
          </w:p>
        </w:tc>
        <w:tc>
          <w:tcPr>
            <w:tcW w:w="1500" w:type="dxa"/>
          </w:tcPr>
          <w:p>
            <w:pPr>
              <w:spacing w:after="40" w:line="240" w:lineRule="auto"/>
            </w:pPr>
            <w:r>
              <w:rPr>
                <w:sz w:val="18"/>
                <w:szCs w:val="18"/>
              </w:rPr>
              <w:t xml:space="preserve">Investigar. Introduce la “pereza metacognitiva”</w:t>
            </w:r>
          </w:p>
        </w:tc>
      </w:tr>
      <w:tr>
        <w:tc>
          <w:tcPr>
            <w:tcW w:w="500" w:type="dxa"/>
          </w:tcPr>
          <w:p>
            <w:pPr>
              <w:spacing w:after="40" w:line="240" w:lineRule="auto"/>
            </w:pPr>
            <w:r>
              <w:rPr>
                <w:sz w:val="18"/>
                <w:szCs w:val="18"/>
              </w:rPr>
              <w:t xml:space="preserve">2</w:t>
            </w:r>
          </w:p>
        </w:tc>
        <w:tc>
          <w:tcPr>
            <w:tcW w:w="1500" w:type="dxa"/>
          </w:tcPr>
          <w:p>
            <w:pPr>
              <w:spacing w:after="40" w:line="240" w:lineRule="auto"/>
            </w:pPr>
            <w:hyperlink r:id="rId5" w:history="1">
              <w:r>
                <w:rPr>
                  <w:sz w:val="18"/>
                  <w:szCs w:val="18"/>
                  <w:rStyle w:val="Hyperlink"/>
                </w:rPr>
                <w:t xml:space="preserve">Kosmyna et al. (2025)</w:t>
              </w:r>
            </w:hyperlink>
          </w:p>
        </w:tc>
        <w:tc>
          <w:tcPr>
            <w:tcW w:w="1500" w:type="dxa"/>
          </w:tcPr>
          <w:p>
            <w:pPr>
              <w:spacing w:after="40" w:line="240" w:lineRule="auto"/>
            </w:pPr>
            <w:r>
              <w:rPr>
                <w:sz w:val="18"/>
                <w:szCs w:val="18"/>
              </w:rPr>
              <w:t xml:space="preserve">Primaria. Preprint experimental</w:t>
            </w:r>
          </w:p>
        </w:tc>
        <w:tc>
          <w:tcPr>
            <w:tcW w:w="1500" w:type="dxa"/>
          </w:tcPr>
          <w:p>
            <w:pPr>
              <w:spacing w:after="40" w:line="240" w:lineRule="auto"/>
            </w:pPr>
            <w:r>
              <w:rPr>
                <w:sz w:val="18"/>
                <w:szCs w:val="18"/>
              </w:rPr>
              <w:t xml:space="preserve">2025, versión 2 de diciembre de 2025</w:t>
            </w:r>
          </w:p>
        </w:tc>
        <w:tc>
          <w:tcPr>
            <w:tcW w:w="2100" w:type="dxa"/>
          </w:tcPr>
          <w:p>
            <w:pPr>
              <w:spacing w:after="40" w:line="240" w:lineRule="auto"/>
            </w:pPr>
            <w:r>
              <w:rPr>
                <w:sz w:val="18"/>
                <w:szCs w:val="18"/>
              </w:rPr>
              <w:t xml:space="preserve">Alta. Redacción de ensayos con LLM, buscador o sin herramientas</w:t>
            </w:r>
          </w:p>
        </w:tc>
        <w:tc>
          <w:tcPr>
            <w:tcW w:w="2200" w:type="dxa"/>
          </w:tcPr>
          <w:p>
            <w:pPr>
              <w:spacing w:after="40" w:line="240" w:lineRule="auto"/>
            </w:pPr>
            <w:r>
              <w:rPr>
                <w:sz w:val="18"/>
                <w:szCs w:val="18"/>
              </w:rPr>
              <w:t xml:space="preserve">MIT Media Lab. Sin revisión por pares todavía</w:t>
            </w:r>
          </w:p>
        </w:tc>
        <w:tc>
          <w:tcPr>
            <w:tcW w:w="2880" w:type="dxa"/>
          </w:tcPr>
          <w:p>
            <w:pPr>
              <w:spacing w:after="40" w:line="240" w:lineRule="auto"/>
            </w:pPr>
            <w:r>
              <w:rPr>
                <w:sz w:val="18"/>
                <w:szCs w:val="18"/>
              </w:rPr>
              <w:t xml:space="preserve">54 participantes y EEG. Menor conectividad cerebral con LLM y dificultad para citar el propio ensayo. Muestra pequeña: resultados preliminares</w:t>
            </w:r>
          </w:p>
        </w:tc>
        <w:tc>
          <w:tcPr>
            <w:tcW w:w="1500" w:type="dxa"/>
          </w:tcPr>
          <w:p>
            <w:pPr>
              <w:spacing w:after="40" w:line="240" w:lineRule="auto"/>
            </w:pPr>
            <w:r>
              <w:rPr>
                <w:sz w:val="18"/>
                <w:szCs w:val="18"/>
              </w:rPr>
              <w:t xml:space="preserve">Investigar y alertar sobre la “deuda cognitiva”</w:t>
            </w:r>
          </w:p>
        </w:tc>
      </w:tr>
      <w:tr>
        <w:tc>
          <w:tcPr>
            <w:tcW w:w="500" w:type="dxa"/>
          </w:tcPr>
          <w:p>
            <w:pPr>
              <w:spacing w:after="40" w:line="240" w:lineRule="auto"/>
            </w:pPr>
            <w:r>
              <w:rPr>
                <w:sz w:val="18"/>
                <w:szCs w:val="18"/>
              </w:rPr>
              <w:t xml:space="preserve">3</w:t>
            </w:r>
          </w:p>
        </w:tc>
        <w:tc>
          <w:tcPr>
            <w:tcW w:w="1500" w:type="dxa"/>
          </w:tcPr>
          <w:p>
            <w:pPr>
              <w:spacing w:after="40" w:line="240" w:lineRule="auto"/>
            </w:pPr>
            <w:hyperlink r:id="rId6" w:history="1">
              <w:r>
                <w:rPr>
                  <w:sz w:val="18"/>
                  <w:szCs w:val="18"/>
                  <w:rStyle w:val="Hyperlink"/>
                </w:rPr>
                <w:t xml:space="preserve">Stadler et al. (2024)</w:t>
              </w:r>
            </w:hyperlink>
          </w:p>
        </w:tc>
        <w:tc>
          <w:tcPr>
            <w:tcW w:w="1500" w:type="dxa"/>
          </w:tcPr>
          <w:p>
            <w:pPr>
              <w:spacing w:after="40" w:line="240" w:lineRule="auto"/>
            </w:pPr>
            <w:r>
              <w:rPr>
                <w:sz w:val="18"/>
                <w:szCs w:val="18"/>
              </w:rPr>
              <w:t xml:space="preserve">Primaria. Experimento aleatorizado</w:t>
            </w:r>
          </w:p>
        </w:tc>
        <w:tc>
          <w:tcPr>
            <w:tcW w:w="1500" w:type="dxa"/>
          </w:tcPr>
          <w:p>
            <w:pPr>
              <w:spacing w:after="40" w:line="240" w:lineRule="auto"/>
            </w:pPr>
            <w:r>
              <w:rPr>
                <w:sz w:val="18"/>
                <w:szCs w:val="18"/>
              </w:rPr>
              <w:t xml:space="preserve">2024. Usó ChatGPT 3.5, modelo ya superado</w:t>
            </w:r>
          </w:p>
        </w:tc>
        <w:tc>
          <w:tcPr>
            <w:tcW w:w="2100" w:type="dxa"/>
          </w:tcPr>
          <w:p>
            <w:pPr>
              <w:spacing w:after="40" w:line="240" w:lineRule="auto"/>
            </w:pPr>
            <w:r>
              <w:rPr>
                <w:sz w:val="18"/>
                <w:szCs w:val="18"/>
              </w:rPr>
              <w:t xml:space="preserve">Alta. Compara ChatGPT con Google al investigar y argumentar</w:t>
            </w:r>
          </w:p>
        </w:tc>
        <w:tc>
          <w:tcPr>
            <w:tcW w:w="2200" w:type="dxa"/>
          </w:tcPr>
          <w:p>
            <w:pPr>
              <w:spacing w:after="40" w:line="240" w:lineRule="auto"/>
            </w:pPr>
            <w:r>
              <w:rPr>
                <w:sz w:val="18"/>
                <w:szCs w:val="18"/>
                <w:i/>
              </w:rPr>
              <w:t xml:space="preserve">Computers in Human Behavior</w:t>
            </w:r>
            <w:r>
              <w:rPr>
                <w:sz w:val="18"/>
                <w:szCs w:val="18"/>
              </w:rPr>
              <w:t xml:space="preserve"> (Elsevier), revisada por pares. 242 citas</w:t>
            </w:r>
          </w:p>
        </w:tc>
        <w:tc>
          <w:tcPr>
            <w:tcW w:w="2880" w:type="dxa"/>
          </w:tcPr>
          <w:p>
            <w:pPr>
              <w:spacing w:after="40" w:line="240" w:lineRule="auto"/>
            </w:pPr>
            <w:r>
              <w:rPr>
                <w:sz w:val="18"/>
                <w:szCs w:val="18"/>
              </w:rPr>
              <w:t xml:space="preserve">91 universitarios. Menor carga cognitiva con ChatGPT, pero razonamiento y argumentación de menor calidad</w:t>
            </w:r>
          </w:p>
        </w:tc>
        <w:tc>
          <w:tcPr>
            <w:tcW w:w="1500" w:type="dxa"/>
          </w:tcPr>
          <w:p>
            <w:pPr>
              <w:spacing w:after="40" w:line="240" w:lineRule="auto"/>
            </w:pPr>
            <w:r>
              <w:rPr>
                <w:sz w:val="18"/>
                <w:szCs w:val="18"/>
              </w:rPr>
              <w:t xml:space="preserve">Investigar</w:t>
            </w:r>
          </w:p>
        </w:tc>
      </w:tr>
      <w:tr>
        <w:tc>
          <w:tcPr>
            <w:tcW w:w="500" w:type="dxa"/>
          </w:tcPr>
          <w:p>
            <w:pPr>
              <w:spacing w:after="40" w:line="240" w:lineRule="auto"/>
            </w:pPr>
            <w:r>
              <w:rPr>
                <w:sz w:val="18"/>
                <w:szCs w:val="18"/>
              </w:rPr>
              <w:t xml:space="preserve">4</w:t>
            </w:r>
          </w:p>
        </w:tc>
        <w:tc>
          <w:tcPr>
            <w:tcW w:w="1500" w:type="dxa"/>
          </w:tcPr>
          <w:p>
            <w:pPr>
              <w:spacing w:after="40" w:line="240" w:lineRule="auto"/>
            </w:pPr>
            <w:hyperlink r:id="rId7" w:history="1">
              <w:r>
                <w:rPr>
                  <w:sz w:val="18"/>
                  <w:szCs w:val="18"/>
                  <w:rStyle w:val="Hyperlink"/>
                </w:rPr>
                <w:t xml:space="preserve">Etkin et al. (2025)</w:t>
              </w:r>
            </w:hyperlink>
          </w:p>
        </w:tc>
        <w:tc>
          <w:tcPr>
            <w:tcW w:w="1500" w:type="dxa"/>
          </w:tcPr>
          <w:p>
            <w:pPr>
              <w:spacing w:after="40" w:line="240" w:lineRule="auto"/>
            </w:pPr>
            <w:r>
              <w:rPr>
                <w:sz w:val="18"/>
                <w:szCs w:val="18"/>
              </w:rPr>
              <w:t xml:space="preserve">Primaria. Experimento cruzado prerregistrado</w:t>
            </w:r>
          </w:p>
        </w:tc>
        <w:tc>
          <w:tcPr>
            <w:tcW w:w="1500" w:type="dxa"/>
          </w:tcPr>
          <w:p>
            <w:pPr>
              <w:spacing w:after="40" w:line="240" w:lineRule="auto"/>
            </w:pPr>
            <w:r>
              <w:rPr>
                <w:sz w:val="18"/>
                <w:szCs w:val="18"/>
              </w:rPr>
              <w:t xml:space="preserve">2025. Vigente</w:t>
            </w:r>
          </w:p>
        </w:tc>
        <w:tc>
          <w:tcPr>
            <w:tcW w:w="2100" w:type="dxa"/>
          </w:tcPr>
          <w:p>
            <w:pPr>
              <w:spacing w:after="40" w:line="240" w:lineRule="auto"/>
            </w:pPr>
            <w:r>
              <w:rPr>
                <w:sz w:val="18"/>
                <w:szCs w:val="18"/>
              </w:rPr>
              <w:t xml:space="preserve">Muy alta. Mide comprensión lectora con cuatro herramientas GPT</w:t>
            </w:r>
          </w:p>
        </w:tc>
        <w:tc>
          <w:tcPr>
            <w:tcW w:w="2200" w:type="dxa"/>
          </w:tcPr>
          <w:p>
            <w:pPr>
              <w:spacing w:after="40" w:line="240" w:lineRule="auto"/>
            </w:pPr>
            <w:r>
              <w:rPr>
                <w:sz w:val="18"/>
                <w:szCs w:val="18"/>
                <w:i/>
              </w:rPr>
              <w:t xml:space="preserve">Frontiers in Education</w:t>
            </w:r>
            <w:r>
              <w:rPr>
                <w:sz w:val="18"/>
                <w:szCs w:val="18"/>
              </w:rPr>
              <w:t xml:space="preserve">, revisada por pares, acceso abierto</w:t>
            </w:r>
          </w:p>
        </w:tc>
        <w:tc>
          <w:tcPr>
            <w:tcW w:w="2880" w:type="dxa"/>
          </w:tcPr>
          <w:p>
            <w:pPr>
              <w:spacing w:after="40" w:line="240" w:lineRule="auto"/>
            </w:pPr>
            <w:r>
              <w:rPr>
                <w:sz w:val="18"/>
                <w:szCs w:val="18"/>
              </w:rPr>
              <w:t xml:space="preserve">195 participantes en edad universitaria. Mejora en lectores de bajo desempeño y empeora en los de alto desempeño; el resumen automático fue lo más perjudicial</w:t>
            </w:r>
          </w:p>
        </w:tc>
        <w:tc>
          <w:tcPr>
            <w:tcW w:w="1500" w:type="dxa"/>
          </w:tcPr>
          <w:p>
            <w:pPr>
              <w:spacing w:after="40" w:line="240" w:lineRule="auto"/>
            </w:pPr>
            <w:r>
              <w:rPr>
                <w:sz w:val="18"/>
                <w:szCs w:val="18"/>
              </w:rPr>
              <w:t xml:space="preserve">Investigar</w:t>
            </w:r>
          </w:p>
        </w:tc>
      </w:tr>
      <w:tr>
        <w:tc>
          <w:tcPr>
            <w:tcW w:w="500" w:type="dxa"/>
          </w:tcPr>
          <w:p>
            <w:pPr>
              <w:spacing w:after="40" w:line="240" w:lineRule="auto"/>
            </w:pPr>
            <w:r>
              <w:rPr>
                <w:sz w:val="18"/>
                <w:szCs w:val="18"/>
              </w:rPr>
              <w:t xml:space="preserve">5</w:t>
            </w:r>
          </w:p>
        </w:tc>
        <w:tc>
          <w:tcPr>
            <w:tcW w:w="1500" w:type="dxa"/>
          </w:tcPr>
          <w:p>
            <w:pPr>
              <w:spacing w:after="40" w:line="240" w:lineRule="auto"/>
            </w:pPr>
            <w:hyperlink r:id="rId8" w:history="1">
              <w:r>
                <w:rPr>
                  <w:sz w:val="18"/>
                  <w:szCs w:val="18"/>
                  <w:rStyle w:val="Hyperlink"/>
                </w:rPr>
                <w:t xml:space="preserve">Çelik et al. (2024)</w:t>
              </w:r>
            </w:hyperlink>
          </w:p>
        </w:tc>
        <w:tc>
          <w:tcPr>
            <w:tcW w:w="1500" w:type="dxa"/>
          </w:tcPr>
          <w:p>
            <w:pPr>
              <w:spacing w:after="40" w:line="240" w:lineRule="auto"/>
            </w:pPr>
            <w:r>
              <w:rPr>
                <w:sz w:val="18"/>
                <w:szCs w:val="18"/>
              </w:rPr>
              <w:t xml:space="preserve">Primaria. Experimento intrasujetos</w:t>
            </w:r>
          </w:p>
        </w:tc>
        <w:tc>
          <w:tcPr>
            <w:tcW w:w="1500" w:type="dxa"/>
          </w:tcPr>
          <w:p>
            <w:pPr>
              <w:spacing w:after="40" w:line="240" w:lineRule="auto"/>
            </w:pPr>
            <w:r>
              <w:rPr>
                <w:sz w:val="18"/>
                <w:szCs w:val="18"/>
              </w:rPr>
              <w:t xml:space="preserve">2024. Vigente</w:t>
            </w:r>
          </w:p>
        </w:tc>
        <w:tc>
          <w:tcPr>
            <w:tcW w:w="2100" w:type="dxa"/>
          </w:tcPr>
          <w:p>
            <w:pPr>
              <w:spacing w:after="40" w:line="240" w:lineRule="auto"/>
            </w:pPr>
            <w:r>
              <w:rPr>
                <w:sz w:val="18"/>
                <w:szCs w:val="18"/>
              </w:rPr>
              <w:t xml:space="preserve">Alta. Comprensión lectora en inglés como lengua extranjera. Aporta el efecto positivo</w:t>
            </w:r>
          </w:p>
        </w:tc>
        <w:tc>
          <w:tcPr>
            <w:tcW w:w="2200" w:type="dxa"/>
          </w:tcPr>
          <w:p>
            <w:pPr>
              <w:spacing w:after="40" w:line="240" w:lineRule="auto"/>
            </w:pPr>
            <w:r>
              <w:rPr>
                <w:sz w:val="18"/>
                <w:szCs w:val="18"/>
                <w:i/>
              </w:rPr>
              <w:t xml:space="preserve">IRRODL</w:t>
            </w:r>
            <w:r>
              <w:rPr>
                <w:sz w:val="18"/>
                <w:szCs w:val="18"/>
              </w:rPr>
              <w:t xml:space="preserve"> (Athabasca University), revisada por pares, acceso abierto</w:t>
            </w:r>
          </w:p>
        </w:tc>
        <w:tc>
          <w:tcPr>
            <w:tcW w:w="2880" w:type="dxa"/>
          </w:tcPr>
          <w:p>
            <w:pPr>
              <w:spacing w:after="40" w:line="240" w:lineRule="auto"/>
            </w:pPr>
            <w:r>
              <w:rPr>
                <w:sz w:val="18"/>
                <w:szCs w:val="18"/>
              </w:rPr>
              <w:t xml:space="preserve">105 universitarios. Los textos simplificados con ChatGPT mejoraron comprensión e inferencia. Una sola sesión</w:t>
            </w:r>
          </w:p>
        </w:tc>
        <w:tc>
          <w:tcPr>
            <w:tcW w:w="1500" w:type="dxa"/>
          </w:tcPr>
          <w:p>
            <w:pPr>
              <w:spacing w:after="40" w:line="240" w:lineRule="auto"/>
            </w:pPr>
            <w:r>
              <w:rPr>
                <w:sz w:val="18"/>
                <w:szCs w:val="18"/>
              </w:rPr>
              <w:t xml:space="preserve">Investigar</w:t>
            </w:r>
          </w:p>
        </w:tc>
      </w:tr>
      <w:tr>
        <w:tc>
          <w:tcPr>
            <w:tcW w:w="500" w:type="dxa"/>
          </w:tcPr>
          <w:p>
            <w:pPr>
              <w:spacing w:after="40" w:line="240" w:lineRule="auto"/>
            </w:pPr>
            <w:r>
              <w:rPr>
                <w:sz w:val="18"/>
                <w:szCs w:val="18"/>
              </w:rPr>
              <w:t xml:space="preserve">6</w:t>
            </w:r>
          </w:p>
        </w:tc>
        <w:tc>
          <w:tcPr>
            <w:tcW w:w="1500" w:type="dxa"/>
          </w:tcPr>
          <w:p>
            <w:pPr>
              <w:spacing w:after="40" w:line="240" w:lineRule="auto"/>
            </w:pPr>
            <w:hyperlink r:id="rId9" w:history="1">
              <w:r>
                <w:rPr>
                  <w:sz w:val="18"/>
                  <w:szCs w:val="18"/>
                  <w:rStyle w:val="Hyperlink"/>
                </w:rPr>
                <w:t xml:space="preserve">Abbas et al. (2024)</w:t>
              </w:r>
            </w:hyperlink>
          </w:p>
        </w:tc>
        <w:tc>
          <w:tcPr>
            <w:tcW w:w="1500" w:type="dxa"/>
          </w:tcPr>
          <w:p>
            <w:pPr>
              <w:spacing w:after="40" w:line="240" w:lineRule="auto"/>
            </w:pPr>
            <w:r>
              <w:rPr>
                <w:sz w:val="18"/>
                <w:szCs w:val="18"/>
              </w:rPr>
              <w:t xml:space="preserve">Primaria. Encuesta en tres momentos</w:t>
            </w:r>
          </w:p>
        </w:tc>
        <w:tc>
          <w:tcPr>
            <w:tcW w:w="1500" w:type="dxa"/>
          </w:tcPr>
          <w:p>
            <w:pPr>
              <w:spacing w:after="40" w:line="240" w:lineRule="auto"/>
            </w:pPr>
            <w:r>
              <w:rPr>
                <w:sz w:val="18"/>
                <w:szCs w:val="18"/>
              </w:rPr>
              <w:t xml:space="preserve">2024. Vigente</w:t>
            </w:r>
          </w:p>
        </w:tc>
        <w:tc>
          <w:tcPr>
            <w:tcW w:w="2100" w:type="dxa"/>
          </w:tcPr>
          <w:p>
            <w:pPr>
              <w:spacing w:after="40" w:line="240" w:lineRule="auto"/>
            </w:pPr>
            <w:r>
              <w:rPr>
                <w:sz w:val="18"/>
                <w:szCs w:val="18"/>
              </w:rPr>
              <w:t xml:space="preserve">Media. No mide lectura ni escritura, sí hábitos y rendimiento</w:t>
            </w:r>
          </w:p>
        </w:tc>
        <w:tc>
          <w:tcPr>
            <w:tcW w:w="2200" w:type="dxa"/>
          </w:tcPr>
          <w:p>
            <w:pPr>
              <w:spacing w:after="40" w:line="240" w:lineRule="auto"/>
            </w:pPr>
            <w:r>
              <w:rPr>
                <w:sz w:val="18"/>
                <w:szCs w:val="18"/>
                <w:i/>
              </w:rPr>
              <w:t xml:space="preserve">Int. J. of Educational Technology in Higher Education</w:t>
            </w:r>
            <w:r>
              <w:rPr>
                <w:sz w:val="18"/>
                <w:szCs w:val="18"/>
              </w:rPr>
              <w:t xml:space="preserve"> (SpringerOpen), revisada por pares. 499 citas</w:t>
            </w:r>
          </w:p>
        </w:tc>
        <w:tc>
          <w:tcPr>
            <w:tcW w:w="2880" w:type="dxa"/>
          </w:tcPr>
          <w:p>
            <w:pPr>
              <w:spacing w:after="40" w:line="240" w:lineRule="auto"/>
            </w:pPr>
            <w:r>
              <w:rPr>
                <w:sz w:val="18"/>
                <w:szCs w:val="18"/>
              </w:rPr>
              <w:t xml:space="preserve">N = 165 y N = 494. Más uso de ChatGPT se asocia con procrastinación, pérdida de memoria y menor rendimiento. Datos autoinformados</w:t>
            </w:r>
          </w:p>
        </w:tc>
        <w:tc>
          <w:tcPr>
            <w:tcW w:w="1500" w:type="dxa"/>
          </w:tcPr>
          <w:p>
            <w:pPr>
              <w:spacing w:after="40" w:line="240" w:lineRule="auto"/>
            </w:pPr>
            <w:r>
              <w:rPr>
                <w:sz w:val="18"/>
                <w:szCs w:val="18"/>
              </w:rPr>
              <w:t xml:space="preserve">Investigar causas y consecuencias del uso</w:t>
            </w:r>
          </w:p>
        </w:tc>
      </w:tr>
      <w:tr>
        <w:tc>
          <w:tcPr>
            <w:tcW w:w="500" w:type="dxa"/>
          </w:tcPr>
          <w:p>
            <w:pPr>
              <w:spacing w:after="40" w:line="240" w:lineRule="auto"/>
            </w:pPr>
            <w:r>
              <w:rPr>
                <w:sz w:val="18"/>
                <w:szCs w:val="18"/>
              </w:rPr>
              <w:t xml:space="preserve">7</w:t>
            </w:r>
          </w:p>
        </w:tc>
        <w:tc>
          <w:tcPr>
            <w:tcW w:w="1500" w:type="dxa"/>
          </w:tcPr>
          <w:p>
            <w:pPr>
              <w:spacing w:after="40" w:line="240" w:lineRule="auto"/>
            </w:pPr>
            <w:hyperlink r:id="rId10" w:history="1">
              <w:r>
                <w:rPr>
                  <w:sz w:val="18"/>
                  <w:szCs w:val="18"/>
                  <w:rStyle w:val="Hyperlink"/>
                </w:rPr>
                <w:t xml:space="preserve">García Rodríguez (2024)</w:t>
              </w:r>
            </w:hyperlink>
          </w:p>
        </w:tc>
        <w:tc>
          <w:tcPr>
            <w:tcW w:w="1500" w:type="dxa"/>
          </w:tcPr>
          <w:p>
            <w:pPr>
              <w:spacing w:after="40" w:line="240" w:lineRule="auto"/>
            </w:pPr>
            <w:r>
              <w:rPr>
                <w:sz w:val="18"/>
                <w:szCs w:val="18"/>
              </w:rPr>
              <w:t xml:space="preserve">Primaria. Intervención cualitativa</w:t>
            </w:r>
          </w:p>
        </w:tc>
        <w:tc>
          <w:tcPr>
            <w:tcW w:w="1500" w:type="dxa"/>
          </w:tcPr>
          <w:p>
            <w:pPr>
              <w:spacing w:after="40" w:line="240" w:lineRule="auto"/>
            </w:pPr>
            <w:r>
              <w:rPr>
                <w:sz w:val="18"/>
                <w:szCs w:val="18"/>
              </w:rPr>
              <w:t xml:space="preserve">Número fechado en 2024; el artículo se aceptó en octubre de 2025</w:t>
            </w:r>
          </w:p>
        </w:tc>
        <w:tc>
          <w:tcPr>
            <w:tcW w:w="2100" w:type="dxa"/>
          </w:tcPr>
          <w:p>
            <w:pPr>
              <w:spacing w:after="40" w:line="240" w:lineRule="auto"/>
            </w:pPr>
            <w:r>
              <w:rPr>
                <w:sz w:val="18"/>
                <w:szCs w:val="18"/>
              </w:rPr>
              <w:t xml:space="preserve">Muy alta. Lectura y escritura académicas con ChatGPT en una universidad mexicana</w:t>
            </w:r>
          </w:p>
        </w:tc>
        <w:tc>
          <w:tcPr>
            <w:tcW w:w="2200" w:type="dxa"/>
          </w:tcPr>
          <w:p>
            <w:pPr>
              <w:spacing w:after="40" w:line="240" w:lineRule="auto"/>
            </w:pPr>
            <w:r>
              <w:rPr>
                <w:sz w:val="18"/>
                <w:szCs w:val="18"/>
                <w:i/>
              </w:rPr>
              <w:t xml:space="preserve">Reencuentro</w:t>
            </w:r>
            <w:r>
              <w:rPr>
                <w:sz w:val="18"/>
                <w:szCs w:val="18"/>
              </w:rPr>
              <w:t xml:space="preserve"> (UAM Xochimilco). Autor docente de la Universidad Veracruzana</w:t>
            </w:r>
          </w:p>
        </w:tc>
        <w:tc>
          <w:tcPr>
            <w:tcW w:w="2880" w:type="dxa"/>
          </w:tcPr>
          <w:p>
            <w:pPr>
              <w:spacing w:after="40" w:line="240" w:lineRule="auto"/>
            </w:pPr>
            <w:r>
              <w:rPr>
                <w:sz w:val="18"/>
                <w:szCs w:val="18"/>
              </w:rPr>
              <w:t xml:space="preserve">110 y 60 alumnos en dos secuencias didácticas. Valoran la corrección ortográfica y sintáctica; señalan falta de profundidad y de perspectiva crítica. No generalizable</w:t>
            </w:r>
          </w:p>
        </w:tc>
        <w:tc>
          <w:tcPr>
            <w:tcW w:w="1500" w:type="dxa"/>
          </w:tcPr>
          <w:p>
            <w:pPr>
              <w:spacing w:after="40" w:line="240" w:lineRule="auto"/>
            </w:pPr>
            <w:r>
              <w:rPr>
                <w:sz w:val="18"/>
                <w:szCs w:val="18"/>
              </w:rPr>
              <w:t xml:space="preserve">Investigar y proponer uso didáctico</w:t>
            </w:r>
          </w:p>
        </w:tc>
      </w:tr>
      <w:tr>
        <w:tc>
          <w:tcPr>
            <w:tcW w:w="500" w:type="dxa"/>
          </w:tcPr>
          <w:p>
            <w:pPr>
              <w:spacing w:after="40" w:line="240" w:lineRule="auto"/>
            </w:pPr>
            <w:r>
              <w:rPr>
                <w:sz w:val="18"/>
                <w:szCs w:val="18"/>
              </w:rPr>
              <w:t xml:space="preserve">8</w:t>
            </w:r>
          </w:p>
        </w:tc>
        <w:tc>
          <w:tcPr>
            <w:tcW w:w="1500" w:type="dxa"/>
          </w:tcPr>
          <w:p>
            <w:pPr>
              <w:spacing w:after="40" w:line="240" w:lineRule="auto"/>
            </w:pPr>
            <w:hyperlink r:id="rId11" w:history="1">
              <w:r>
                <w:rPr>
                  <w:sz w:val="18"/>
                  <w:szCs w:val="18"/>
                  <w:rStyle w:val="Hyperlink"/>
                </w:rPr>
                <w:t xml:space="preserve">Zhai et al. (2024)</w:t>
              </w:r>
            </w:hyperlink>
          </w:p>
        </w:tc>
        <w:tc>
          <w:tcPr>
            <w:tcW w:w="1500" w:type="dxa"/>
          </w:tcPr>
          <w:p>
            <w:pPr>
              <w:spacing w:after="40" w:line="240" w:lineRule="auto"/>
            </w:pPr>
            <w:r>
              <w:rPr>
                <w:sz w:val="18"/>
                <w:szCs w:val="18"/>
              </w:rPr>
              <w:t xml:space="preserve">Secundaria. Revisión sistemática</w:t>
            </w:r>
          </w:p>
        </w:tc>
        <w:tc>
          <w:tcPr>
            <w:tcW w:w="1500" w:type="dxa"/>
          </w:tcPr>
          <w:p>
            <w:pPr>
              <w:spacing w:after="40" w:line="240" w:lineRule="auto"/>
            </w:pPr>
            <w:r>
              <w:rPr>
                <w:sz w:val="18"/>
                <w:szCs w:val="18"/>
              </w:rPr>
              <w:t xml:space="preserve">2024. Vigente</w:t>
            </w:r>
          </w:p>
        </w:tc>
        <w:tc>
          <w:tcPr>
            <w:tcW w:w="2100" w:type="dxa"/>
          </w:tcPr>
          <w:p>
            <w:pPr>
              <w:spacing w:after="40" w:line="240" w:lineRule="auto"/>
            </w:pPr>
            <w:r>
              <w:rPr>
                <w:sz w:val="18"/>
                <w:szCs w:val="18"/>
              </w:rPr>
              <w:t xml:space="preserve">Alta. Sobredependencia de la IA y habilidades cognitivas</w:t>
            </w:r>
          </w:p>
        </w:tc>
        <w:tc>
          <w:tcPr>
            <w:tcW w:w="2200" w:type="dxa"/>
          </w:tcPr>
          <w:p>
            <w:pPr>
              <w:spacing w:after="40" w:line="240" w:lineRule="auto"/>
            </w:pPr>
            <w:r>
              <w:rPr>
                <w:sz w:val="18"/>
                <w:szCs w:val="18"/>
                <w:i/>
              </w:rPr>
              <w:t xml:space="preserve">Smart Learning Environments</w:t>
            </w:r>
            <w:r>
              <w:rPr>
                <w:sz w:val="18"/>
                <w:szCs w:val="18"/>
              </w:rPr>
              <w:t xml:space="preserve"> (SpringerOpen), revisada por pares. 1480 citas</w:t>
            </w:r>
          </w:p>
        </w:tc>
        <w:tc>
          <w:tcPr>
            <w:tcW w:w="2880" w:type="dxa"/>
          </w:tcPr>
          <w:p>
            <w:pPr>
              <w:spacing w:after="40" w:line="240" w:lineRule="auto"/>
            </w:pPr>
            <w:r>
              <w:rPr>
                <w:sz w:val="18"/>
                <w:szCs w:val="18"/>
              </w:rPr>
              <w:t xml:space="preserve">PRISMA, 14 artículos de cuatro bases. La sobredependencia afecta pensamiento crítico, decisión y razonamiento analítico. Corpus pequeño</w:t>
            </w:r>
          </w:p>
        </w:tc>
        <w:tc>
          <w:tcPr>
            <w:tcW w:w="1500" w:type="dxa"/>
          </w:tcPr>
          <w:p>
            <w:pPr>
              <w:spacing w:after="40" w:line="240" w:lineRule="auto"/>
            </w:pPr>
            <w:r>
              <w:rPr>
                <w:sz w:val="18"/>
                <w:szCs w:val="18"/>
              </w:rPr>
              <w:t xml:space="preserve">Sintetizar evidencia</w:t>
            </w:r>
          </w:p>
        </w:tc>
      </w:tr>
      <w:tr>
        <w:tc>
          <w:tcPr>
            <w:tcW w:w="500" w:type="dxa"/>
          </w:tcPr>
          <w:p>
            <w:pPr>
              <w:spacing w:after="40" w:line="240" w:lineRule="auto"/>
            </w:pPr>
            <w:r>
              <w:rPr>
                <w:sz w:val="18"/>
                <w:szCs w:val="18"/>
              </w:rPr>
              <w:t xml:space="preserve">9</w:t>
            </w:r>
          </w:p>
        </w:tc>
        <w:tc>
          <w:tcPr>
            <w:tcW w:w="1500" w:type="dxa"/>
          </w:tcPr>
          <w:p>
            <w:pPr>
              <w:spacing w:after="40" w:line="240" w:lineRule="auto"/>
            </w:pPr>
            <w:hyperlink r:id="rId12" w:history="1">
              <w:r>
                <w:rPr>
                  <w:sz w:val="18"/>
                  <w:szCs w:val="18"/>
                  <w:rStyle w:val="Hyperlink"/>
                </w:rPr>
                <w:t xml:space="preserve">Deng et al. (2025)</w:t>
              </w:r>
            </w:hyperlink>
          </w:p>
        </w:tc>
        <w:tc>
          <w:tcPr>
            <w:tcW w:w="1500" w:type="dxa"/>
          </w:tcPr>
          <w:p>
            <w:pPr>
              <w:spacing w:after="40" w:line="240" w:lineRule="auto"/>
            </w:pPr>
            <w:r>
              <w:rPr>
                <w:sz w:val="18"/>
                <w:szCs w:val="18"/>
              </w:rPr>
              <w:t xml:space="preserve">Secundaria. Revisión sistemática y metaanálisis</w:t>
            </w:r>
          </w:p>
        </w:tc>
        <w:tc>
          <w:tcPr>
            <w:tcW w:w="1500" w:type="dxa"/>
          </w:tcPr>
          <w:p>
            <w:pPr>
              <w:spacing w:after="40" w:line="240" w:lineRule="auto"/>
            </w:pPr>
            <w:r>
              <w:rPr>
                <w:sz w:val="18"/>
                <w:szCs w:val="18"/>
              </w:rPr>
              <w:t xml:space="preserve">2025. Vigente</w:t>
            </w:r>
          </w:p>
        </w:tc>
        <w:tc>
          <w:tcPr>
            <w:tcW w:w="2100" w:type="dxa"/>
          </w:tcPr>
          <w:p>
            <w:pPr>
              <w:spacing w:after="40" w:line="240" w:lineRule="auto"/>
            </w:pPr>
            <w:r>
              <w:rPr>
                <w:sz w:val="18"/>
                <w:szCs w:val="18"/>
              </w:rPr>
              <w:t xml:space="preserve">Media a alta. Efecto general de ChatGPT en el aprendizaje. Sirve de contrapeso</w:t>
            </w:r>
          </w:p>
        </w:tc>
        <w:tc>
          <w:tcPr>
            <w:tcW w:w="2200" w:type="dxa"/>
          </w:tcPr>
          <w:p>
            <w:pPr>
              <w:spacing w:after="40" w:line="240" w:lineRule="auto"/>
            </w:pPr>
            <w:r>
              <w:rPr>
                <w:sz w:val="18"/>
                <w:szCs w:val="18"/>
                <w:i/>
              </w:rPr>
              <w:t xml:space="preserve">Computers &amp; Education</w:t>
            </w:r>
            <w:r>
              <w:rPr>
                <w:sz w:val="18"/>
                <w:szCs w:val="18"/>
              </w:rPr>
              <w:t xml:space="preserve"> (Elsevier), revisada por pares. 487 citas</w:t>
            </w:r>
          </w:p>
        </w:tc>
        <w:tc>
          <w:tcPr>
            <w:tcW w:w="2880" w:type="dxa"/>
          </w:tcPr>
          <w:p>
            <w:pPr>
              <w:spacing w:after="40" w:line="240" w:lineRule="auto"/>
            </w:pPr>
            <w:r>
              <w:rPr>
                <w:sz w:val="18"/>
                <w:szCs w:val="18"/>
              </w:rPr>
              <w:t xml:space="preserve">Solo estudios experimentales. Reporta mejora del desempeño académico, como también lo resume UNAM (2025). Falta leer el texto completo</w:t>
            </w:r>
          </w:p>
        </w:tc>
        <w:tc>
          <w:tcPr>
            <w:tcW w:w="1500" w:type="dxa"/>
          </w:tcPr>
          <w:p>
            <w:pPr>
              <w:spacing w:after="40" w:line="240" w:lineRule="auto"/>
            </w:pPr>
            <w:r>
              <w:rPr>
                <w:sz w:val="18"/>
                <w:szCs w:val="18"/>
              </w:rPr>
              <w:t xml:space="preserve">Sintetizar evidencia</w:t>
            </w:r>
          </w:p>
        </w:tc>
      </w:tr>
      <w:tr>
        <w:tc>
          <w:tcPr>
            <w:tcW w:w="500" w:type="dxa"/>
          </w:tcPr>
          <w:p>
            <w:pPr>
              <w:spacing w:after="40" w:line="240" w:lineRule="auto"/>
            </w:pPr>
            <w:r>
              <w:rPr>
                <w:sz w:val="18"/>
                <w:szCs w:val="18"/>
              </w:rPr>
              <w:t xml:space="preserve">10</w:t>
            </w:r>
          </w:p>
        </w:tc>
        <w:tc>
          <w:tcPr>
            <w:tcW w:w="1500" w:type="dxa"/>
          </w:tcPr>
          <w:p>
            <w:pPr>
              <w:spacing w:after="40" w:line="240" w:lineRule="auto"/>
            </w:pPr>
            <w:hyperlink r:id="rId13" w:history="1">
              <w:r>
                <w:rPr>
                  <w:sz w:val="18"/>
                  <w:szCs w:val="18"/>
                  <w:rStyle w:val="Hyperlink"/>
                </w:rPr>
                <w:t xml:space="preserve">Baldrich et al. (2024)</w:t>
              </w:r>
            </w:hyperlink>
          </w:p>
        </w:tc>
        <w:tc>
          <w:tcPr>
            <w:tcW w:w="1500" w:type="dxa"/>
          </w:tcPr>
          <w:p>
            <w:pPr>
              <w:spacing w:after="40" w:line="240" w:lineRule="auto"/>
            </w:pPr>
            <w:r>
              <w:rPr>
                <w:sz w:val="18"/>
                <w:szCs w:val="18"/>
              </w:rPr>
              <w:t xml:space="preserve">Secundaria. Revisión sistemática</w:t>
            </w:r>
          </w:p>
        </w:tc>
        <w:tc>
          <w:tcPr>
            <w:tcW w:w="1500" w:type="dxa"/>
          </w:tcPr>
          <w:p>
            <w:pPr>
              <w:spacing w:after="40" w:line="240" w:lineRule="auto"/>
            </w:pPr>
            <w:r>
              <w:rPr>
                <w:sz w:val="18"/>
                <w:szCs w:val="18"/>
              </w:rPr>
              <w:t xml:space="preserve">2024. Vigente</w:t>
            </w:r>
          </w:p>
        </w:tc>
        <w:tc>
          <w:tcPr>
            <w:tcW w:w="2100" w:type="dxa"/>
          </w:tcPr>
          <w:p>
            <w:pPr>
              <w:spacing w:after="40" w:line="240" w:lineRule="auto"/>
            </w:pPr>
            <w:r>
              <w:rPr>
                <w:sz w:val="18"/>
                <w:szCs w:val="18"/>
              </w:rPr>
              <w:t xml:space="preserve">Alta. Alfabetización académica (leer y escribir en la universidad), en español</w:t>
            </w:r>
          </w:p>
        </w:tc>
        <w:tc>
          <w:tcPr>
            <w:tcW w:w="2200" w:type="dxa"/>
          </w:tcPr>
          <w:p>
            <w:pPr>
              <w:spacing w:after="40" w:line="240" w:lineRule="auto"/>
            </w:pPr>
            <w:r>
              <w:rPr>
                <w:sz w:val="18"/>
                <w:szCs w:val="18"/>
                <w:i/>
              </w:rPr>
              <w:t xml:space="preserve">Educatio Siglo XXI</w:t>
            </w:r>
            <w:r>
              <w:rPr>
                <w:sz w:val="18"/>
                <w:szCs w:val="18"/>
              </w:rPr>
              <w:t xml:space="preserve"> (Universidad de Murcia), revisada por pares</w:t>
            </w:r>
          </w:p>
        </w:tc>
        <w:tc>
          <w:tcPr>
            <w:tcW w:w="2880" w:type="dxa"/>
          </w:tcPr>
          <w:p>
            <w:pPr>
              <w:spacing w:after="40" w:line="240" w:lineRule="auto"/>
            </w:pPr>
            <w:r>
              <w:rPr>
                <w:sz w:val="18"/>
                <w:szCs w:val="18"/>
              </w:rPr>
              <w:t xml:space="preserve">PRISMA 2020, 15 estudios de Web of Science y Scopus. Destaca ética, precisión de la información y sesgos</w:t>
            </w:r>
          </w:p>
        </w:tc>
        <w:tc>
          <w:tcPr>
            <w:tcW w:w="1500" w:type="dxa"/>
          </w:tcPr>
          <w:p>
            <w:pPr>
              <w:spacing w:after="40" w:line="240" w:lineRule="auto"/>
            </w:pPr>
            <w:r>
              <w:rPr>
                <w:sz w:val="18"/>
                <w:szCs w:val="18"/>
              </w:rPr>
              <w:t xml:space="preserve">Sintetizar evidencia</w:t>
            </w:r>
          </w:p>
        </w:tc>
      </w:tr>
      <w:tr>
        <w:tc>
          <w:tcPr>
            <w:tcW w:w="500" w:type="dxa"/>
          </w:tcPr>
          <w:p>
            <w:pPr>
              <w:spacing w:after="40" w:line="240" w:lineRule="auto"/>
            </w:pPr>
            <w:r>
              <w:rPr>
                <w:sz w:val="18"/>
                <w:szCs w:val="18"/>
              </w:rPr>
              <w:t xml:space="preserve">11</w:t>
            </w:r>
          </w:p>
        </w:tc>
        <w:tc>
          <w:tcPr>
            <w:tcW w:w="1500" w:type="dxa"/>
          </w:tcPr>
          <w:p>
            <w:pPr>
              <w:spacing w:after="40" w:line="240" w:lineRule="auto"/>
            </w:pPr>
            <w:hyperlink r:id="rId14" w:history="1">
              <w:r>
                <w:rPr>
                  <w:sz w:val="18"/>
                  <w:szCs w:val="18"/>
                  <w:rStyle w:val="Hyperlink"/>
                </w:rPr>
                <w:t xml:space="preserve">Miao y Holmes (2023)</w:t>
              </w:r>
            </w:hyperlink>
          </w:p>
        </w:tc>
        <w:tc>
          <w:tcPr>
            <w:tcW w:w="1500" w:type="dxa"/>
          </w:tcPr>
          <w:p>
            <w:pPr>
              <w:spacing w:after="40" w:line="240" w:lineRule="auto"/>
            </w:pPr>
            <w:r>
              <w:rPr>
                <w:sz w:val="18"/>
                <w:szCs w:val="18"/>
              </w:rPr>
              <w:t xml:space="preserve">Literatura gris. Guía de organismo internacional</w:t>
            </w:r>
          </w:p>
        </w:tc>
        <w:tc>
          <w:tcPr>
            <w:tcW w:w="1500" w:type="dxa"/>
          </w:tcPr>
          <w:p>
            <w:pPr>
              <w:spacing w:after="40" w:line="240" w:lineRule="auto"/>
            </w:pPr>
            <w:r>
              <w:rPr>
                <w:sz w:val="18"/>
                <w:szCs w:val="18"/>
              </w:rPr>
              <w:t xml:space="preserve">2023. Marco aún vigente; los modelos que describe ya cambiaron</w:t>
            </w:r>
          </w:p>
        </w:tc>
        <w:tc>
          <w:tcPr>
            <w:tcW w:w="2100" w:type="dxa"/>
          </w:tcPr>
          <w:p>
            <w:pPr>
              <w:spacing w:after="40" w:line="240" w:lineRule="auto"/>
            </w:pPr>
            <w:r>
              <w:rPr>
                <w:sz w:val="18"/>
                <w:szCs w:val="18"/>
              </w:rPr>
              <w:t xml:space="preserve">Media. Políticas y uso ético en educación e investigación</w:t>
            </w:r>
          </w:p>
        </w:tc>
        <w:tc>
          <w:tcPr>
            <w:tcW w:w="2200" w:type="dxa"/>
          </w:tcPr>
          <w:p>
            <w:pPr>
              <w:spacing w:after="40" w:line="240" w:lineRule="auto"/>
            </w:pPr>
            <w:r>
              <w:rPr>
                <w:sz w:val="18"/>
                <w:szCs w:val="18"/>
              </w:rPr>
              <w:t xml:space="preserve">UNESCO. ISBN 978-92-3-100612-8</w:t>
            </w:r>
          </w:p>
        </w:tc>
        <w:tc>
          <w:tcPr>
            <w:tcW w:w="2880" w:type="dxa"/>
          </w:tcPr>
          <w:p>
            <w:pPr>
              <w:spacing w:after="40" w:line="240" w:lineRule="auto"/>
            </w:pPr>
            <w:r>
              <w:rPr>
                <w:sz w:val="18"/>
                <w:szCs w:val="18"/>
              </w:rPr>
              <w:t xml:space="preserve">Documento normativo, no estudio empírico. Hay que contrastarla con estudios primarios</w:t>
            </w:r>
          </w:p>
        </w:tc>
        <w:tc>
          <w:tcPr>
            <w:tcW w:w="1500" w:type="dxa"/>
          </w:tcPr>
          <w:p>
            <w:pPr>
              <w:spacing w:after="40" w:line="240" w:lineRule="auto"/>
            </w:pPr>
            <w:r>
              <w:rPr>
                <w:sz w:val="18"/>
                <w:szCs w:val="18"/>
              </w:rPr>
              <w:t xml:space="preserve">Orientar políticas y regular</w:t>
            </w:r>
          </w:p>
        </w:tc>
      </w:tr>
      <w:tr>
        <w:tc>
          <w:tcPr>
            <w:tcW w:w="500" w:type="dxa"/>
          </w:tcPr>
          <w:p>
            <w:pPr>
              <w:spacing w:after="40" w:line="240" w:lineRule="auto"/>
            </w:pPr>
            <w:r>
              <w:rPr>
                <w:sz w:val="18"/>
                <w:szCs w:val="18"/>
              </w:rPr>
              <w:t xml:space="preserve">12</w:t>
            </w:r>
          </w:p>
        </w:tc>
        <w:tc>
          <w:tcPr>
            <w:tcW w:w="1500" w:type="dxa"/>
          </w:tcPr>
          <w:p>
            <w:pPr>
              <w:spacing w:after="40" w:line="240" w:lineRule="auto"/>
            </w:pPr>
            <w:hyperlink r:id="rId15" w:history="1">
              <w:r>
                <w:rPr>
                  <w:sz w:val="18"/>
                  <w:szCs w:val="18"/>
                  <w:rStyle w:val="Hyperlink"/>
                </w:rPr>
                <w:t xml:space="preserve">Grupo Académico de IAGen en Educación UNAM (2025)</w:t>
              </w:r>
            </w:hyperlink>
          </w:p>
        </w:tc>
        <w:tc>
          <w:tcPr>
            <w:tcW w:w="1500" w:type="dxa"/>
          </w:tcPr>
          <w:p>
            <w:pPr>
              <w:spacing w:after="40" w:line="240" w:lineRule="auto"/>
            </w:pPr>
            <w:r>
              <w:rPr>
                <w:sz w:val="18"/>
                <w:szCs w:val="18"/>
              </w:rPr>
              <w:t xml:space="preserve">Literatura gris. Documento institucional</w:t>
            </w:r>
          </w:p>
        </w:tc>
        <w:tc>
          <w:tcPr>
            <w:tcW w:w="1500" w:type="dxa"/>
          </w:tcPr>
          <w:p>
            <w:pPr>
              <w:spacing w:after="40" w:line="240" w:lineRule="auto"/>
            </w:pPr>
            <w:r>
              <w:rPr>
                <w:sz w:val="18"/>
                <w:szCs w:val="18"/>
              </w:rPr>
              <w:t xml:space="preserve">Segunda edición, mayo de 2025</w:t>
            </w:r>
          </w:p>
        </w:tc>
        <w:tc>
          <w:tcPr>
            <w:tcW w:w="2100" w:type="dxa"/>
          </w:tcPr>
          <w:p>
            <w:pPr>
              <w:spacing w:after="40" w:line="240" w:lineRule="auto"/>
            </w:pPr>
            <w:r>
              <w:rPr>
                <w:sz w:val="18"/>
                <w:szCs w:val="18"/>
              </w:rPr>
              <w:t xml:space="preserve">Alta. Recomendaciones para estudiantes y docentes en México, incluida la escritura</w:t>
            </w:r>
          </w:p>
        </w:tc>
        <w:tc>
          <w:tcPr>
            <w:tcW w:w="2200" w:type="dxa"/>
          </w:tcPr>
          <w:p>
            <w:pPr>
              <w:spacing w:after="40" w:line="240" w:lineRule="auto"/>
            </w:pPr>
            <w:r>
              <w:rPr>
                <w:sz w:val="18"/>
                <w:szCs w:val="18"/>
              </w:rPr>
              <w:t xml:space="preserve">UNAM. Grupo de CEIDE, CUAED, DGTIC y otras dependencias</w:t>
            </w:r>
          </w:p>
        </w:tc>
        <w:tc>
          <w:tcPr>
            <w:tcW w:w="2880" w:type="dxa"/>
          </w:tcPr>
          <w:p>
            <w:pPr>
              <w:spacing w:after="40" w:line="240" w:lineRule="auto"/>
            </w:pPr>
            <w:r>
              <w:rPr>
                <w:sz w:val="18"/>
                <w:szCs w:val="18"/>
              </w:rPr>
              <w:t xml:space="preserve">Cita estudios como Deng et al. (2025) y Gerlich (2025). Es una guía, no aporta datos propios</w:t>
            </w:r>
          </w:p>
        </w:tc>
        <w:tc>
          <w:tcPr>
            <w:tcW w:w="1500" w:type="dxa"/>
          </w:tcPr>
          <w:p>
            <w:pPr>
              <w:spacing w:after="40" w:line="240" w:lineRule="auto"/>
            </w:pPr>
            <w:r>
              <w:rPr>
                <w:sz w:val="18"/>
                <w:szCs w:val="18"/>
              </w:rPr>
              <w:t xml:space="preserve">Orientar el uso educativo</w:t>
            </w:r>
          </w:p>
        </w:tc>
      </w:tr>
      <w:tr>
        <w:tc>
          <w:tcPr>
            <w:tcW w:w="500" w:type="dxa"/>
          </w:tcPr>
          <w:p>
            <w:pPr>
              <w:spacing w:after="40" w:line="240" w:lineRule="auto"/>
            </w:pPr>
            <w:r>
              <w:rPr>
                <w:sz w:val="18"/>
                <w:szCs w:val="18"/>
              </w:rPr>
              <w:t xml:space="preserve">13</w:t>
            </w:r>
          </w:p>
        </w:tc>
        <w:tc>
          <w:tcPr>
            <w:tcW w:w="1500" w:type="dxa"/>
          </w:tcPr>
          <w:p>
            <w:pPr>
              <w:spacing w:after="40" w:line="240" w:lineRule="auto"/>
            </w:pPr>
            <w:hyperlink r:id="rId16" w:history="1">
              <w:r>
                <w:rPr>
                  <w:sz w:val="18"/>
                  <w:szCs w:val="18"/>
                  <w:rStyle w:val="Hyperlink"/>
                </w:rPr>
                <w:t xml:space="preserve">Stephenson y Armstrong (2026)</w:t>
              </w:r>
            </w:hyperlink>
          </w:p>
        </w:tc>
        <w:tc>
          <w:tcPr>
            <w:tcW w:w="1500" w:type="dxa"/>
          </w:tcPr>
          <w:p>
            <w:pPr>
              <w:spacing w:after="40" w:line="240" w:lineRule="auto"/>
            </w:pPr>
            <w:r>
              <w:rPr>
                <w:sz w:val="18"/>
                <w:szCs w:val="18"/>
              </w:rPr>
              <w:t xml:space="preserve">Literatura gris. Informe de encuesta</w:t>
            </w:r>
          </w:p>
        </w:tc>
        <w:tc>
          <w:tcPr>
            <w:tcW w:w="1500" w:type="dxa"/>
          </w:tcPr>
          <w:p>
            <w:pPr>
              <w:spacing w:after="40" w:line="240" w:lineRule="auto"/>
            </w:pPr>
            <w:r>
              <w:rPr>
                <w:sz w:val="18"/>
                <w:szCs w:val="18"/>
              </w:rPr>
              <w:t xml:space="preserve">Marzo de 2026. La más reciente</w:t>
            </w:r>
          </w:p>
        </w:tc>
        <w:tc>
          <w:tcPr>
            <w:tcW w:w="2100" w:type="dxa"/>
          </w:tcPr>
          <w:p>
            <w:pPr>
              <w:spacing w:after="40" w:line="240" w:lineRule="auto"/>
            </w:pPr>
            <w:r>
              <w:rPr>
                <w:sz w:val="18"/>
                <w:szCs w:val="18"/>
              </w:rPr>
              <w:t xml:space="preserve">Media. Cuánto y para qué usan IA los universitarios. No mide aprendizaje</w:t>
            </w:r>
          </w:p>
        </w:tc>
        <w:tc>
          <w:tcPr>
            <w:tcW w:w="2200" w:type="dxa"/>
          </w:tcPr>
          <w:p>
            <w:pPr>
              <w:spacing w:after="40" w:line="240" w:lineRule="auto"/>
            </w:pPr>
            <w:r>
              <w:rPr>
                <w:sz w:val="18"/>
                <w:szCs w:val="18"/>
              </w:rPr>
              <w:t xml:space="preserve">Higher Education Policy Institute. Trabajo de campo de Savanta</w:t>
            </w:r>
          </w:p>
        </w:tc>
        <w:tc>
          <w:tcPr>
            <w:tcW w:w="2880" w:type="dxa"/>
          </w:tcPr>
          <w:p>
            <w:pPr>
              <w:spacing w:after="40" w:line="240" w:lineRule="auto"/>
            </w:pPr>
            <w:r>
              <w:rPr>
                <w:sz w:val="18"/>
                <w:szCs w:val="18"/>
              </w:rPr>
              <w:t xml:space="preserve">1,054 estudiantes de grado del Reino Unido. 95% usa IA y 94% la usa en trabajos evaluados. Patrocinado por Kortext, empresa del sector</w:t>
            </w:r>
          </w:p>
        </w:tc>
        <w:tc>
          <w:tcPr>
            <w:tcW w:w="1500" w:type="dxa"/>
          </w:tcPr>
          <w:p>
            <w:pPr>
              <w:spacing w:after="40" w:line="240" w:lineRule="auto"/>
            </w:pPr>
            <w:r>
              <w:rPr>
                <w:sz w:val="18"/>
                <w:szCs w:val="18"/>
              </w:rPr>
              <w:t xml:space="preserve">Informar política universitaria</w:t>
            </w:r>
          </w:p>
        </w:tc>
      </w:tr>
      <w:tr>
        <w:tc>
          <w:tcPr>
            <w:tcW w:w="500" w:type="dxa"/>
          </w:tcPr>
          <w:p>
            <w:pPr>
              <w:spacing w:after="40" w:line="240" w:lineRule="auto"/>
            </w:pPr>
            <w:r>
              <w:rPr>
                <w:sz w:val="18"/>
                <w:szCs w:val="18"/>
              </w:rPr>
              <w:t xml:space="preserve">14</w:t>
            </w:r>
          </w:p>
        </w:tc>
        <w:tc>
          <w:tcPr>
            <w:tcW w:w="1500" w:type="dxa"/>
          </w:tcPr>
          <w:p>
            <w:pPr>
              <w:spacing w:after="40" w:line="240" w:lineRule="auto"/>
            </w:pPr>
            <w:hyperlink r:id="rId17" w:history="1">
              <w:r>
                <w:rPr>
                  <w:sz w:val="18"/>
                  <w:szCs w:val="18"/>
                  <w:rStyle w:val="Hyperlink"/>
                </w:rPr>
                <w:t xml:space="preserve">Arbulu Vasquez (2025)</w:t>
              </w:r>
            </w:hyperlink>
          </w:p>
        </w:tc>
        <w:tc>
          <w:tcPr>
            <w:tcW w:w="1500" w:type="dxa"/>
          </w:tcPr>
          <w:p>
            <w:pPr>
              <w:spacing w:after="40" w:line="240" w:lineRule="auto"/>
            </w:pPr>
            <w:r>
              <w:rPr>
                <w:sz w:val="18"/>
                <w:szCs w:val="18"/>
              </w:rPr>
              <w:t xml:space="preserve">Literatura gris. Tesis de maestría</w:t>
            </w:r>
          </w:p>
        </w:tc>
        <w:tc>
          <w:tcPr>
            <w:tcW w:w="1500" w:type="dxa"/>
          </w:tcPr>
          <w:p>
            <w:pPr>
              <w:spacing w:after="40" w:line="240" w:lineRule="auto"/>
            </w:pPr>
            <w:r>
              <w:rPr>
                <w:sz w:val="18"/>
                <w:szCs w:val="18"/>
              </w:rPr>
              <w:t xml:space="preserve">2025. Vigente</w:t>
            </w:r>
          </w:p>
        </w:tc>
        <w:tc>
          <w:tcPr>
            <w:tcW w:w="2100" w:type="dxa"/>
          </w:tcPr>
          <w:p>
            <w:pPr>
              <w:spacing w:after="40" w:line="240" w:lineRule="auto"/>
            </w:pPr>
            <w:r>
              <w:rPr>
                <w:sz w:val="18"/>
                <w:szCs w:val="18"/>
              </w:rPr>
              <w:t xml:space="preserve">Alta. Uso de ChatGPT para redactar textos académicos en primer ciclo</w:t>
            </w:r>
          </w:p>
        </w:tc>
        <w:tc>
          <w:tcPr>
            <w:tcW w:w="2200" w:type="dxa"/>
          </w:tcPr>
          <w:p>
            <w:pPr>
              <w:spacing w:after="40" w:line="240" w:lineRule="auto"/>
            </w:pPr>
            <w:r>
              <w:rPr>
                <w:sz w:val="18"/>
                <w:szCs w:val="18"/>
              </w:rPr>
              <w:t xml:space="preserve">Universidad Católica Santo Toribio de Mogrovejo (Perú), repositorio institucional</w:t>
            </w:r>
          </w:p>
        </w:tc>
        <w:tc>
          <w:tcPr>
            <w:tcW w:w="2880" w:type="dxa"/>
          </w:tcPr>
          <w:p>
            <w:pPr>
              <w:spacing w:after="40" w:line="240" w:lineRule="auto"/>
            </w:pPr>
            <w:r>
              <w:rPr>
                <w:sz w:val="18"/>
                <w:szCs w:val="18"/>
              </w:rPr>
              <w:t xml:space="preserve">Diseño mixto descriptivo con cuestionario validado. Predomina el parafraseo; desventajas: dependencia excesiva y necesidad de verificar</w:t>
            </w:r>
          </w:p>
        </w:tc>
        <w:tc>
          <w:tcPr>
            <w:tcW w:w="1500" w:type="dxa"/>
          </w:tcPr>
          <w:p>
            <w:pPr>
              <w:spacing w:after="40" w:line="240" w:lineRule="auto"/>
            </w:pPr>
            <w:r>
              <w:rPr>
                <w:sz w:val="18"/>
                <w:szCs w:val="18"/>
              </w:rPr>
              <w:t xml:space="preserve">Obtener el grado e investigar</w:t>
            </w:r>
          </w:p>
        </w:tc>
      </w:tr>
    </w:tbl>
    <w:p>
      <w:pPr>
        <w:pStyle w:val="Heading2"/>
      </w:pPr>
      <w:r>
        <w:t xml:space="preserve">Qué dicen las fuentes</w:t>
      </w:r>
    </w:p>
    <w:p>
      <w:pPr/>
      <w:r>
        <w:t xml:space="preserve">La evidencia apunta a un patrón: la IA mejora el producto inmediato, pero puede reducir el esfuerzo mental que produce aprendizaje. El efecto depende de cómo se usa y de quién la usa.</w:t>
      </w:r>
    </w:p>
    <w:p>
      <w:pPr>
        <w:pStyle w:val="ListParagraph"/>
        <w:numPr>
          <w:ilvl w:val="0"/>
          <w:numId w:val="2"/>
        </w:numPr>
      </w:pPr>
      <w:r>
        <w:rPr>
          <w:b/>
        </w:rPr>
        <w:t xml:space="preserve">Redacción.</w:t>
      </w:r>
      <w:r>
        <w:t xml:space="preserve"> El texto final suele salir mejor con IA, sin que el estudiante aprenda más (Fan et al., 2025). Quienes escriben con LLM muestran menor actividad cerebral y recuerdan menos lo que escribieron (Kosmyna et al., 2025). Los estudiantes reconocen que la IA corrige bien ortografía y sintaxis, pero no aporta profundidad ni voz propia (García Rodríguez, 2024; Arbulu Vasquez, 2025).</w:t>
      </w:r>
    </w:p>
    <w:p>
      <w:pPr>
        <w:pStyle w:val="ListParagraph"/>
        <w:numPr>
          <w:ilvl w:val="0"/>
          <w:numId w:val="2"/>
        </w:numPr>
      </w:pPr>
      <w:r>
        <w:rPr>
          <w:b/>
        </w:rPr>
        <w:t xml:space="preserve">Comprensión lectora.</w:t>
      </w:r>
      <w:r>
        <w:t xml:space="preserve"> El efecto no es igual para todos. Las herramientas GPT ayudan a lectores de bajo desempeño y perjudican a los de alto desempeño, sobre todo cuando leen el resumen en lugar del texto (Etkin et al., 2025). Simplificar textos en una segunda lengua sí mejora la comprensión (Çelik et al., 2024).</w:t>
      </w:r>
    </w:p>
    <w:p>
      <w:pPr>
        <w:pStyle w:val="ListParagraph"/>
        <w:numPr>
          <w:ilvl w:val="0"/>
          <w:numId w:val="2"/>
        </w:numPr>
      </w:pPr>
      <w:r>
        <w:rPr>
          <w:b/>
        </w:rPr>
        <w:t xml:space="preserve">Profundidad del razonamiento.</w:t>
      </w:r>
      <w:r>
        <w:t xml:space="preserve"> Buscar con ChatGPT cuesta menos esfuerzo que con Google, pero produce argumentos de menor calidad (Stadler et al., 2024). La dependencia excesiva se asocia con menor pensamiento crítico, procrastinación y peor memoria (Zhai et al., 2024; Abbas et al., 2024).</w:t>
      </w:r>
    </w:p>
    <w:p>
      <w:pPr>
        <w:pStyle w:val="ListParagraph"/>
        <w:numPr>
          <w:ilvl w:val="0"/>
          <w:numId w:val="2"/>
        </w:numPr>
      </w:pPr>
      <w:r>
        <w:rPr>
          <w:b/>
        </w:rPr>
        <w:t xml:space="preserve">Contrapeso.</w:t>
      </w:r>
      <w:r>
        <w:t xml:space="preserve"> El metaanálisis de Deng et al. (2025) reporta mejoras en el desempeño académico. La IA no es dañina por sí misma: el riesgo está en delegar la lectura y la escritura completas.</w:t>
      </w:r>
    </w:p>
    <w:p>
      <w:pPr>
        <w:pStyle w:val="ListParagraph"/>
        <w:numPr>
          <w:ilvl w:val="0"/>
          <w:numId w:val="2"/>
        </w:numPr>
      </w:pPr>
      <w:r>
        <w:rPr>
          <w:b/>
        </w:rPr>
        <w:t xml:space="preserve">Magnitud.</w:t>
      </w:r>
      <w:r>
        <w:t xml:space="preserve"> El uso ya es casi universal: 95% de los universitarios encuestados en el Reino Unido usa IA (Stephenson y Armstrong, 2026).</w:t>
      </w:r>
    </w:p>
    <w:p>
      <w:pPr/>
      <w:r>
        <w:rPr>
          <w:b/>
        </w:rPr>
        <w:t xml:space="preserve">Vacío detectado:</w:t>
      </w:r>
      <w:r>
        <w:t xml:space="preserve"> en esta búsqueda no aparecieron estudios experimentales hechos en México que midan comprensión lectora con pruebas objetivas. Ahí puede ubicarse el aporte del portafolio.</w:t>
      </w:r>
    </w:p>
    <w:p>
      <w:pPr>
        <w:pStyle w:val="Heading2"/>
      </w:pPr>
      <w:r>
        <w:t xml:space="preserve">Estrategias y herramientas para mitigar los efectos</w:t>
      </w:r>
    </w:p>
    <w:p>
      <w:pPr/>
      <w:r>
        <w:t xml:space="preserve">Las fuentes coinciden en usar la IA después del esfuerzo propio y no en su lugar.</w:t>
      </w:r>
    </w:p>
    <w:tbl>
      <w:tblPr>
        <w:tblStyle w:val="TableGrid"/>
        <w:tblW w:w="0" w:type="auto"/>
        <w:tblLayout w:type="fixed"/>
        <w:tblLook w:val="04A0" w:firstRow="1" w:lastRow="0" w:firstColumn="0" w:lastColumn="0" w:noHBand="0" w:noVBand="1"/>
      </w:tblPr>
      <w:tblGrid>
        <w:gridCol w:w="3200"/>
        <w:gridCol w:w="7480"/>
        <w:gridCol w:w="3000"/>
      </w:tblGrid>
      <w:tr>
        <w:trPr>
          <w:tblHeader/>
        </w:trPr>
        <w:tc>
          <w:tcPr>
            <w:tcW w:w="3200" w:type="dxa"/>
            <w:shd w:val="clear" w:color="auto" w:fill="F2F2F2"/>
          </w:tcPr>
          <w:p>
            <w:pPr>
              <w:spacing w:after="40" w:line="240" w:lineRule="auto"/>
            </w:pPr>
            <w:r>
              <w:rPr>
                <w:sz w:val="18"/>
                <w:szCs w:val="18"/>
              </w:rPr>
              <w:t xml:space="preserve">Estrategia</w:t>
            </w:r>
          </w:p>
        </w:tc>
        <w:tc>
          <w:tcPr>
            <w:tcW w:w="7480" w:type="dxa"/>
            <w:shd w:val="clear" w:color="auto" w:fill="F2F2F2"/>
          </w:tcPr>
          <w:p>
            <w:pPr>
              <w:spacing w:after="40" w:line="240" w:lineRule="auto"/>
            </w:pPr>
            <w:r>
              <w:rPr>
                <w:sz w:val="18"/>
                <w:szCs w:val="18"/>
              </w:rPr>
              <w:t xml:space="preserve">Cómo aplicarla</w:t>
            </w:r>
          </w:p>
        </w:tc>
        <w:tc>
          <w:tcPr>
            <w:tcW w:w="3000" w:type="dxa"/>
            <w:shd w:val="clear" w:color="auto" w:fill="F2F2F2"/>
          </w:tcPr>
          <w:p>
            <w:pPr>
              <w:spacing w:after="40" w:line="240" w:lineRule="auto"/>
            </w:pPr>
            <w:r>
              <w:rPr>
                <w:sz w:val="18"/>
                <w:szCs w:val="18"/>
              </w:rPr>
              <w:t xml:space="preserve">Fuente que la respalda</w:t>
            </w:r>
          </w:p>
        </w:tc>
      </w:tr>
      <w:tr>
        <w:tc>
          <w:tcPr>
            <w:tcW w:w="3200" w:type="dxa"/>
          </w:tcPr>
          <w:p>
            <w:pPr>
              <w:spacing w:after="40" w:line="240" w:lineRule="auto"/>
            </w:pPr>
            <w:r>
              <w:rPr>
                <w:sz w:val="18"/>
                <w:szCs w:val="18"/>
              </w:rPr>
              <w:t xml:space="preserve">Leer primero el texto original</w:t>
            </w:r>
          </w:p>
        </w:tc>
        <w:tc>
          <w:tcPr>
            <w:tcW w:w="7480" w:type="dxa"/>
          </w:tcPr>
          <w:p>
            <w:pPr>
              <w:spacing w:after="40" w:line="240" w:lineRule="auto"/>
            </w:pPr>
            <w:r>
              <w:rPr>
                <w:sz w:val="18"/>
                <w:szCs w:val="18"/>
              </w:rPr>
              <w:t xml:space="preserve">Usar el resumen de la IA solo para repasar, nunca como sustituto de la lectura</w:t>
            </w:r>
          </w:p>
        </w:tc>
        <w:tc>
          <w:tcPr>
            <w:tcW w:w="3000" w:type="dxa"/>
          </w:tcPr>
          <w:p>
            <w:pPr>
              <w:spacing w:after="40" w:line="240" w:lineRule="auto"/>
            </w:pPr>
            <w:r>
              <w:rPr>
                <w:sz w:val="18"/>
                <w:szCs w:val="18"/>
              </w:rPr>
              <w:t xml:space="preserve">Etkin et al. (2025)</w:t>
            </w:r>
          </w:p>
        </w:tc>
      </w:tr>
      <w:tr>
        <w:tc>
          <w:tcPr>
            <w:tcW w:w="3200" w:type="dxa"/>
          </w:tcPr>
          <w:p>
            <w:pPr>
              <w:spacing w:after="40" w:line="240" w:lineRule="auto"/>
            </w:pPr>
            <w:r>
              <w:rPr>
                <w:sz w:val="18"/>
                <w:szCs w:val="18"/>
              </w:rPr>
              <w:t xml:space="preserve">Preferir un chatbot que pregunte</w:t>
            </w:r>
          </w:p>
        </w:tc>
        <w:tc>
          <w:tcPr>
            <w:tcW w:w="7480" w:type="dxa"/>
          </w:tcPr>
          <w:p>
            <w:pPr>
              <w:spacing w:after="40" w:line="240" w:lineRule="auto"/>
            </w:pPr>
            <w:r>
              <w:rPr>
                <w:sz w:val="18"/>
                <w:szCs w:val="18"/>
              </w:rPr>
              <w:t xml:space="preserve">Pedir a la IA que haga preguntas tipo socrático sobre la lectura en vez de dar la respuesta. Fue la herramienta que más ayudó a lectores de bajo desempeño</w:t>
            </w:r>
          </w:p>
        </w:tc>
        <w:tc>
          <w:tcPr>
            <w:tcW w:w="3000" w:type="dxa"/>
          </w:tcPr>
          <w:p>
            <w:pPr>
              <w:spacing w:after="40" w:line="240" w:lineRule="auto"/>
            </w:pPr>
            <w:r>
              <w:rPr>
                <w:sz w:val="18"/>
                <w:szCs w:val="18"/>
              </w:rPr>
              <w:t xml:space="preserve">Etkin et al. (2025)</w:t>
            </w:r>
          </w:p>
        </w:tc>
      </w:tr>
      <w:tr>
        <w:tc>
          <w:tcPr>
            <w:tcW w:w="3200" w:type="dxa"/>
          </w:tcPr>
          <w:p>
            <w:pPr>
              <w:spacing w:after="40" w:line="240" w:lineRule="auto"/>
            </w:pPr>
            <w:r>
              <w:rPr>
                <w:sz w:val="18"/>
                <w:szCs w:val="18"/>
              </w:rPr>
              <w:t xml:space="preserve">Escribir el primer borrador sin IA</w:t>
            </w:r>
          </w:p>
        </w:tc>
        <w:tc>
          <w:tcPr>
            <w:tcW w:w="7480" w:type="dxa"/>
          </w:tcPr>
          <w:p>
            <w:pPr>
              <w:spacing w:after="40" w:line="240" w:lineRule="auto"/>
            </w:pPr>
            <w:r>
              <w:rPr>
                <w:sz w:val="18"/>
                <w:szCs w:val="18"/>
              </w:rPr>
              <w:t xml:space="preserve">Redactar con ideas propias y recurrir a la IA después. Quienes pasaron de escribir sin ayuda a usar LLM mostraron mayor recuerdo y actividad cerebral (dato preliminar)</w:t>
            </w:r>
          </w:p>
        </w:tc>
        <w:tc>
          <w:tcPr>
            <w:tcW w:w="3000" w:type="dxa"/>
          </w:tcPr>
          <w:p>
            <w:pPr>
              <w:spacing w:after="40" w:line="240" w:lineRule="auto"/>
            </w:pPr>
            <w:r>
              <w:rPr>
                <w:sz w:val="18"/>
                <w:szCs w:val="18"/>
              </w:rPr>
              <w:t xml:space="preserve">Kosmyna et al. (2025)</w:t>
            </w:r>
          </w:p>
        </w:tc>
      </w:tr>
      <w:tr>
        <w:tc>
          <w:tcPr>
            <w:tcW w:w="3200" w:type="dxa"/>
          </w:tcPr>
          <w:p>
            <w:pPr>
              <w:spacing w:after="40" w:line="240" w:lineRule="auto"/>
            </w:pPr>
            <w:r>
              <w:rPr>
                <w:sz w:val="18"/>
                <w:szCs w:val="18"/>
              </w:rPr>
              <w:t xml:space="preserve">IA como tutora de escritura</w:t>
            </w:r>
          </w:p>
        </w:tc>
        <w:tc>
          <w:tcPr>
            <w:tcW w:w="7480" w:type="dxa"/>
          </w:tcPr>
          <w:p>
            <w:pPr>
              <w:spacing w:after="40" w:line="240" w:lineRule="auto"/>
            </w:pPr>
            <w:r>
              <w:rPr>
                <w:sz w:val="18"/>
                <w:szCs w:val="18"/>
              </w:rPr>
              <w:t xml:space="preserve">Pedir retroalimentación sobre fortalezas y áreas de mejora del texto propio. Evitar pedir que desarrolle las ideas</w:t>
            </w:r>
          </w:p>
        </w:tc>
        <w:tc>
          <w:tcPr>
            <w:tcW w:w="3000" w:type="dxa"/>
          </w:tcPr>
          <w:p>
            <w:pPr>
              <w:spacing w:after="40" w:line="240" w:lineRule="auto"/>
            </w:pPr>
            <w:r>
              <w:rPr>
                <w:sz w:val="18"/>
                <w:szCs w:val="18"/>
              </w:rPr>
              <w:t xml:space="preserve">UNAM (2025)</w:t>
            </w:r>
          </w:p>
        </w:tc>
      </w:tr>
      <w:tr>
        <w:tc>
          <w:tcPr>
            <w:tcW w:w="3200" w:type="dxa"/>
          </w:tcPr>
          <w:p>
            <w:pPr>
              <w:spacing w:after="40" w:line="240" w:lineRule="auto"/>
            </w:pPr>
            <w:r>
              <w:rPr>
                <w:sz w:val="18"/>
                <w:szCs w:val="18"/>
              </w:rPr>
              <w:t xml:space="preserve">Comparar y criticar el texto de la IA</w:t>
            </w:r>
          </w:p>
        </w:tc>
        <w:tc>
          <w:tcPr>
            <w:tcW w:w="7480" w:type="dxa"/>
          </w:tcPr>
          <w:p>
            <w:pPr>
              <w:spacing w:after="40" w:line="240" w:lineRule="auto"/>
            </w:pPr>
            <w:r>
              <w:rPr>
                <w:sz w:val="18"/>
                <w:szCs w:val="18"/>
              </w:rPr>
              <w:t xml:space="preserve">Contrastar una reseña o resumen generado con el texto fuente y señalar errores, vacíos y sesgos</w:t>
            </w:r>
          </w:p>
        </w:tc>
        <w:tc>
          <w:tcPr>
            <w:tcW w:w="3000" w:type="dxa"/>
          </w:tcPr>
          <w:p>
            <w:pPr>
              <w:spacing w:after="40" w:line="240" w:lineRule="auto"/>
            </w:pPr>
            <w:r>
              <w:rPr>
                <w:sz w:val="18"/>
                <w:szCs w:val="18"/>
              </w:rPr>
              <w:t xml:space="preserve">García Rodríguez (2024); UNAM (2025)</w:t>
            </w:r>
          </w:p>
        </w:tc>
      </w:tr>
      <w:tr>
        <w:tc>
          <w:tcPr>
            <w:tcW w:w="3200" w:type="dxa"/>
          </w:tcPr>
          <w:p>
            <w:pPr>
              <w:spacing w:after="40" w:line="240" w:lineRule="auto"/>
            </w:pPr>
            <w:r>
              <w:rPr>
                <w:sz w:val="18"/>
                <w:szCs w:val="18"/>
              </w:rPr>
              <w:t xml:space="preserve">Sostener la autorregulación</w:t>
            </w:r>
          </w:p>
        </w:tc>
        <w:tc>
          <w:tcPr>
            <w:tcW w:w="7480" w:type="dxa"/>
          </w:tcPr>
          <w:p>
            <w:pPr>
              <w:spacing w:after="40" w:line="240" w:lineRule="auto"/>
            </w:pPr>
            <w:r>
              <w:rPr>
                <w:sz w:val="18"/>
                <w:szCs w:val="18"/>
              </w:rPr>
              <w:t xml:space="preserve">Planear, monitorear y evaluar el propio trabajo antes de aceptar lo que sugiere la IA, para evitar la pereza metacognitiva</w:t>
            </w:r>
          </w:p>
        </w:tc>
        <w:tc>
          <w:tcPr>
            <w:tcW w:w="3000" w:type="dxa"/>
          </w:tcPr>
          <w:p>
            <w:pPr>
              <w:spacing w:after="40" w:line="240" w:lineRule="auto"/>
            </w:pPr>
            <w:r>
              <w:rPr>
                <w:sz w:val="18"/>
                <w:szCs w:val="18"/>
              </w:rPr>
              <w:t xml:space="preserve">Fan et al. (2025)</w:t>
            </w:r>
          </w:p>
        </w:tc>
      </w:tr>
      <w:tr>
        <w:tc>
          <w:tcPr>
            <w:tcW w:w="3200" w:type="dxa"/>
          </w:tcPr>
          <w:p>
            <w:pPr>
              <w:spacing w:after="40" w:line="240" w:lineRule="auto"/>
            </w:pPr>
            <w:r>
              <w:rPr>
                <w:sz w:val="18"/>
                <w:szCs w:val="18"/>
              </w:rPr>
              <w:t xml:space="preserve">Verificar siempre</w:t>
            </w:r>
          </w:p>
        </w:tc>
        <w:tc>
          <w:tcPr>
            <w:tcW w:w="7480" w:type="dxa"/>
          </w:tcPr>
          <w:p>
            <w:pPr>
              <w:spacing w:after="40" w:line="240" w:lineRule="auto"/>
            </w:pPr>
            <w:r>
              <w:rPr>
                <w:sz w:val="18"/>
                <w:szCs w:val="18"/>
              </w:rPr>
              <w:t xml:space="preserve">Comprobar datos y referencias de la IA en fuentes académicas. Los propios estudiantes reportan que la información no siempre es confiable</w:t>
            </w:r>
          </w:p>
        </w:tc>
        <w:tc>
          <w:tcPr>
            <w:tcW w:w="3000" w:type="dxa"/>
          </w:tcPr>
          <w:p>
            <w:pPr>
              <w:spacing w:after="40" w:line="240" w:lineRule="auto"/>
            </w:pPr>
            <w:r>
              <w:rPr>
                <w:sz w:val="18"/>
                <w:szCs w:val="18"/>
              </w:rPr>
              <w:t xml:space="preserve">Arbulu Vasquez (2025); Baldrich et al. (2024)</w:t>
            </w:r>
          </w:p>
        </w:tc>
      </w:tr>
      <w:tr>
        <w:tc>
          <w:tcPr>
            <w:tcW w:w="3200" w:type="dxa"/>
          </w:tcPr>
          <w:p>
            <w:pPr>
              <w:spacing w:after="40" w:line="240" w:lineRule="auto"/>
            </w:pPr>
            <w:r>
              <w:rPr>
                <w:sz w:val="18"/>
                <w:szCs w:val="18"/>
              </w:rPr>
              <w:t xml:space="preserve">Evaluar el proceso y no solo el producto</w:t>
            </w:r>
          </w:p>
        </w:tc>
        <w:tc>
          <w:tcPr>
            <w:tcW w:w="7480" w:type="dxa"/>
          </w:tcPr>
          <w:p>
            <w:pPr>
              <w:spacing w:after="40" w:line="240" w:lineRule="auto"/>
            </w:pPr>
            <w:r>
              <w:rPr>
                <w:sz w:val="18"/>
                <w:szCs w:val="18"/>
              </w:rPr>
              <w:t xml:space="preserve">Réplica oral del trabajo y valoración de la “escritura imperfecta” propia sobre la “perfecta” de la máquina</w:t>
            </w:r>
          </w:p>
        </w:tc>
        <w:tc>
          <w:tcPr>
            <w:tcW w:w="3000" w:type="dxa"/>
          </w:tcPr>
          <w:p>
            <w:pPr>
              <w:spacing w:after="40" w:line="240" w:lineRule="auto"/>
            </w:pPr>
            <w:r>
              <w:rPr>
                <w:sz w:val="18"/>
                <w:szCs w:val="18"/>
              </w:rPr>
              <w:t xml:space="preserve">UNAM (2025)</w:t>
            </w:r>
          </w:p>
        </w:tc>
      </w:tr>
      <w:tr>
        <w:tc>
          <w:tcPr>
            <w:tcW w:w="3200" w:type="dxa"/>
          </w:tcPr>
          <w:p>
            <w:pPr>
              <w:spacing w:after="40" w:line="240" w:lineRule="auto"/>
            </w:pPr>
            <w:r>
              <w:rPr>
                <w:sz w:val="18"/>
                <w:szCs w:val="18"/>
              </w:rPr>
              <w:t xml:space="preserve">Reglas y formación institucional</w:t>
            </w:r>
          </w:p>
        </w:tc>
        <w:tc>
          <w:tcPr>
            <w:tcW w:w="7480" w:type="dxa"/>
          </w:tcPr>
          <w:p>
            <w:pPr>
              <w:spacing w:after="40" w:line="240" w:lineRule="auto"/>
            </w:pPr>
            <w:r>
              <w:rPr>
                <w:sz w:val="18"/>
                <w:szCs w:val="18"/>
              </w:rPr>
              <w:t xml:space="preserve">Políticas claras de uso y capacitación de docentes y estudiantes. Solo 48% de los estudiantes siente que sus docentes les ayudan a desarrollar habilidades de IA</w:t>
            </w:r>
          </w:p>
        </w:tc>
        <w:tc>
          <w:tcPr>
            <w:tcW w:w="3000" w:type="dxa"/>
          </w:tcPr>
          <w:p>
            <w:pPr>
              <w:spacing w:after="40" w:line="240" w:lineRule="auto"/>
            </w:pPr>
            <w:r>
              <w:rPr>
                <w:sz w:val="18"/>
                <w:szCs w:val="18"/>
              </w:rPr>
              <w:t xml:space="preserve">Miao y Holmes (2023); Stephenson y Armstrong (2026)</w:t>
            </w:r>
          </w:p>
        </w:tc>
      </w:tr>
    </w:tbl>
    <w:p>
      <w:pPr/>
      <w:r>
        <w:rPr>
          <w:b/>
        </w:rPr>
        <w:t xml:space="preserve">Herramientas de apoyo:</w:t>
      </w:r>
      <w:r>
        <w:t xml:space="preserve"> un chatbot configurado en modo socrático para la lectura, analíticas de escritura como alternativa a ChatGPT (una de las condiciones que comparó Fan et al., 2025) y un gestor de referencias como Zotero o Mendeley para registrar y verificar las fuentes, como indica el tema 1.6.</w:t>
      </w:r>
    </w:p>
    <w:p>
      <w:pPr>
        <w:pStyle w:val="Heading2"/>
      </w:pPr>
      <w:r>
        <w:t xml:space="preserve">Referencias (APA 7)</w:t>
      </w:r>
    </w:p>
    <w:p>
      <w:pPr/>
      <w:r>
        <w:t xml:space="preserve">Estilo único: APA, 7.ª edición, el mismo que usa la bibliografía de la unidad. En el texto, el documento del Grupo Académico de Inteligencia Artificial Generativa en Educación UNAM se abrevia como UNAM (2025).</w:t>
      </w:r>
    </w:p>
    <w:p>
      <w:pPr/>
      <w:r>
        <w:t xml:space="preserve">Abbas, M., Jam, F. A., &amp; Khan, T. I. (2024). Is it harmful or helpful? Examining the causes and consequences of generative AI usage among university students. </w:t>
      </w:r>
      <w:r>
        <w:rPr>
          <w:i/>
        </w:rPr>
        <w:t xml:space="preserve">International Journal of Educational Technology in Higher Education, 21</w:t>
      </w:r>
      <w:r>
        <w:t xml:space="preserve">, Artículo 10. https://doi.org/10.1186/s41239-024-00444-7</w:t>
      </w:r>
    </w:p>
    <w:p>
      <w:pPr/>
      <w:r>
        <w:t xml:space="preserve">Arbulu Vasquez, J. A. (2025). </w:t>
      </w:r>
      <w:r>
        <w:rPr>
          <w:i/>
        </w:rPr>
        <w:t xml:space="preserve">Uso de ChatGPT en la redacción de textos académicos en universitarios</w:t>
      </w:r>
      <w:r>
        <w:t xml:space="preserve"> [Tesis de maestría, Universidad Católica Santo Toribio de Mogrovejo]. Repositorio de Tesis USAT. https://hdl.handle.net/20.500.12423/8602</w:t>
      </w:r>
    </w:p>
    <w:p>
      <w:pPr/>
      <w:r>
        <w:t xml:space="preserve">Baldrich, K., Domínguez-Oller, J. C., &amp; García-Roca, A. (2024). La inteligencia artificial y su impacto en la alfabetización académica: una revisión sistemática. </w:t>
      </w:r>
      <w:r>
        <w:rPr>
          <w:i/>
        </w:rPr>
        <w:t xml:space="preserve">Educatio Siglo XXI, 42</w:t>
      </w:r>
      <w:r>
        <w:t xml:space="preserve">(3), 53–74. https://doi.org/10.6018/educatio.609591</w:t>
      </w:r>
    </w:p>
    <w:p>
      <w:pPr/>
      <w:r>
        <w:t xml:space="preserve">Çelik, F., Yangın Ersanlı, C., &amp; Arslanbay, G. (2024). Does AI simplification of authentic blog texts improve reading comprehension, inferencing, and anxiety? A one-shot intervention in Turkish EFL context. </w:t>
      </w:r>
      <w:r>
        <w:rPr>
          <w:i/>
        </w:rPr>
        <w:t xml:space="preserve">The International Review of Research in Open and Distributed Learning, 25</w:t>
      </w:r>
      <w:r>
        <w:t xml:space="preserve">(3), 287–303. https://doi.org/10.19173/irrodl.v25i3.7779</w:t>
      </w:r>
    </w:p>
    <w:p>
      <w:pPr/>
      <w:r>
        <w:t xml:space="preserve">Deng, R., Jiang, M., Yu, X., Lu, Y., &amp; Liu, S. (2025). Does ChatGPT enhance student learning? A systematic review and meta-analysis of experimental studies. </w:t>
      </w:r>
      <w:r>
        <w:rPr>
          <w:i/>
        </w:rPr>
        <w:t xml:space="preserve">Computers &amp; Education, 227</w:t>
      </w:r>
      <w:r>
        <w:t xml:space="preserve">, Artículo 105224. https://doi.org/10.1016/j.compedu.2024.105224</w:t>
      </w:r>
    </w:p>
    <w:p>
      <w:pPr/>
      <w:r>
        <w:t xml:space="preserve">Etkin, H. K., Etkin, K. J., Carter, R. J., &amp; Rolle, C. E. (2025). Differential effects of GPT-based tools on comprehension of standardized passages. </w:t>
      </w:r>
      <w:r>
        <w:rPr>
          <w:i/>
        </w:rPr>
        <w:t xml:space="preserve">Frontiers in Education, 10</w:t>
      </w:r>
      <w:r>
        <w:t xml:space="preserve">, Artículo 1506752. https://doi.org/10.3389/feduc.2025.1506752</w:t>
      </w:r>
    </w:p>
    <w:p>
      <w:pPr/>
      <w:r>
        <w:t xml:space="preserve">Fan, Y., Tang, L., Le, H., Shen, K., Tan, S., Zhao, Y., Shen, Y., Li, X., &amp; Gašević, D. (2025). Beware of metacognitive laziness: Effects of generative artificial intelligence on learning motivation, processes, and performance. </w:t>
      </w:r>
      <w:r>
        <w:rPr>
          <w:i/>
        </w:rPr>
        <w:t xml:space="preserve">British Journal of Educational Technology, 56</w:t>
      </w:r>
      <w:r>
        <w:t xml:space="preserve">(2), 489–530. https://doi.org/10.1111/bjet.13544</w:t>
      </w:r>
    </w:p>
    <w:p>
      <w:pPr/>
      <w:r>
        <w:t xml:space="preserve">García Rodríguez, J. C. (2024). La inteligencia artificial en la formación de habilidades de lectura y escritura académicas: estudio de una intervención educativa con ChatGPT en estudiantes universitarios. </w:t>
      </w:r>
      <w:r>
        <w:rPr>
          <w:i/>
        </w:rPr>
        <w:t xml:space="preserve">Reencuentro. Análisis de Problemas Universitarios, 36</w:t>
      </w:r>
      <w:r>
        <w:t xml:space="preserve">(88), 217–230. https://doi.org/10.24275/uamxoc-dcsh/reencuentro/202488-11</w:t>
      </w:r>
    </w:p>
    <w:p>
      <w:pPr/>
      <w:r>
        <w:t xml:space="preserve">Grupo Académico de Inteligencia Artificial Generativa en Educación UNAM. (2025). </w:t>
      </w:r>
      <w:r>
        <w:rPr>
          <w:i/>
        </w:rPr>
        <w:t xml:space="preserve">Recomendaciones para el uso educativo de la inteligencia artificial generativa en la UNAM</w:t>
      </w:r>
      <w:r>
        <w:t xml:space="preserve"> (2.ª ed.). Universidad Nacional Autónoma de México. https://iagen.unam.mx/recursos/Recomendaciones_IAGEN_UNAM_2025.pdf</w:t>
      </w:r>
    </w:p>
    <w:p>
      <w:pPr/>
      <w:r>
        <w:t xml:space="preserve">Kosmyna, N., Hauptmann, E., Yuan, Y. T., Situ, J., Liao, X.-H., Beresnitzky, A. V., Braunstein, I., &amp; Maes, P. (2025). </w:t>
      </w:r>
      <w:r>
        <w:rPr>
          <w:i/>
        </w:rPr>
        <w:t xml:space="preserve">Your brain on ChatGPT: Accumulation of cognitive debt when using an AI assistant for essay writing task</w:t>
      </w:r>
      <w:r>
        <w:t xml:space="preserve"> (arXiv:2506.08872). arXiv. https://doi.org/10.48550/arXiv.2506.08872</w:t>
      </w:r>
    </w:p>
    <w:p>
      <w:pPr/>
      <w:r>
        <w:t xml:space="preserve">Miao, F., &amp; Holmes, W. (2023). </w:t>
      </w:r>
      <w:r>
        <w:rPr>
          <w:i/>
        </w:rPr>
        <w:t xml:space="preserve">Guidance for generative AI in education and research</w:t>
      </w:r>
      <w:r>
        <w:t xml:space="preserve">. UNESCO. https://doi.org/10.54675/EWZM9535</w:t>
      </w:r>
    </w:p>
    <w:p>
      <w:pPr/>
      <w:r>
        <w:t xml:space="preserve">Stadler, M., Bannert, M., &amp; Sailer, M. (2024). Cognitive ease at a cost: LLMs reduce mental effort but compromise depth in student scientific inquiry. </w:t>
      </w:r>
      <w:r>
        <w:rPr>
          <w:i/>
        </w:rPr>
        <w:t xml:space="preserve">Computers in Human Behavior, 160</w:t>
      </w:r>
      <w:r>
        <w:t xml:space="preserve">, Artículo 108386. https://doi.org/10.1016/j.chb.2024.108386</w:t>
      </w:r>
    </w:p>
    <w:p>
      <w:pPr/>
      <w:r>
        <w:t xml:space="preserve">Stephenson, R., &amp; Armstrong, C. (2026). </w:t>
      </w:r>
      <w:r>
        <w:rPr>
          <w:i/>
        </w:rPr>
        <w:t xml:space="preserve">Student generative artificial intelligence survey 2026</w:t>
      </w:r>
      <w:r>
        <w:t xml:space="preserve"> (HEPI Report 199). Higher Education Policy Institute. https://www.hepi.ac.uk/reports/student-generative-ai-survey-2026/</w:t>
      </w:r>
    </w:p>
    <w:p>
      <w:pPr/>
      <w:r>
        <w:t xml:space="preserve">Zhai, C., Wibowo, S., &amp; Li, L. D. (2024). The effects of over-reliance on AI dialogue systems on students' cognitive abilities: A systematic review. </w:t>
      </w:r>
      <w:r>
        <w:rPr>
          <w:i/>
        </w:rPr>
        <w:t xml:space="preserve">Smart Learning Environments, 11</w:t>
      </w:r>
      <w:r>
        <w:t xml:space="preserve">, Artículo 28. https://doi.org/10.1186/s40561-024-00316-7</w:t>
      </w:r>
    </w:p>
    <w:sectPr>
      <w:pgSz w:w="15840" w:h="12240" w:orient="landscape"/>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s-MX"/>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oi.org/10.1057/s41599-026-07310-z" TargetMode="External"/><Relationship Id="rId4" Type="http://schemas.openxmlformats.org/officeDocument/2006/relationships/hyperlink" Target="https://doi.org/10.1111/bjet.13544" TargetMode="External"/><Relationship Id="rId5" Type="http://schemas.openxmlformats.org/officeDocument/2006/relationships/hyperlink" Target="https://doi.org/10.48550/arXiv.2506.08872" TargetMode="External"/><Relationship Id="rId6" Type="http://schemas.openxmlformats.org/officeDocument/2006/relationships/hyperlink" Target="https://doi.org/10.1016/j.chb.2024.108386" TargetMode="External"/><Relationship Id="rId7" Type="http://schemas.openxmlformats.org/officeDocument/2006/relationships/hyperlink" Target="https://doi.org/10.3389/feduc.2025.1506752" TargetMode="External"/><Relationship Id="rId8" Type="http://schemas.openxmlformats.org/officeDocument/2006/relationships/hyperlink" Target="https://doi.org/10.19173/irrodl.v25i3.7779" TargetMode="External"/><Relationship Id="rId9" Type="http://schemas.openxmlformats.org/officeDocument/2006/relationships/hyperlink" Target="https://doi.org/10.1186/s41239-024-00444-7" TargetMode="External"/><Relationship Id="rId10" Type="http://schemas.openxmlformats.org/officeDocument/2006/relationships/hyperlink" Target="https://doi.org/10.24275/uamxoc-dcsh/reencuentro/202488-11" TargetMode="External"/><Relationship Id="rId11" Type="http://schemas.openxmlformats.org/officeDocument/2006/relationships/hyperlink" Target="https://doi.org/10.1186/s40561-024-00316-7" TargetMode="External"/><Relationship Id="rId12" Type="http://schemas.openxmlformats.org/officeDocument/2006/relationships/hyperlink" Target="https://doi.org/10.1016/j.compedu.2024.105224" TargetMode="External"/><Relationship Id="rId13" Type="http://schemas.openxmlformats.org/officeDocument/2006/relationships/hyperlink" Target="https://doi.org/10.6018/educatio.609591" TargetMode="External"/><Relationship Id="rId14" Type="http://schemas.openxmlformats.org/officeDocument/2006/relationships/hyperlink" Target="https://doi.org/10.54675/EWZM9535" TargetMode="External"/><Relationship Id="rId15" Type="http://schemas.openxmlformats.org/officeDocument/2006/relationships/hyperlink" Target="https://iagen.unam.mx/recursos/Recomendaciones_IAGEN_UNAM_2025.pdf" TargetMode="External"/><Relationship Id="rId16" Type="http://schemas.openxmlformats.org/officeDocument/2006/relationships/hyperlink" Target="https://www.hepi.ac.uk/reports/student-generative-ai-survey-2026/" TargetMode="External"/><Relationship Id="rId17" Type="http://schemas.openxmlformats.org/officeDocument/2006/relationships/hyperlink" Target="https://hdl.handle.net/20.500.12423/8602"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Actividad 1.6 · Primera revisión de fuentes</dc:title>
  <dc:description>Claude Docs node/1170205e-0d13@7 docx-w6</dc:description>
  <cp:revision>7</cp:revision>
</cp:coreProperties>
</file>