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del Proceso MTU – Modelo Arc42 (Versión Extendida Final)</w:t>
      </w:r>
    </w:p>
    <w:p>
      <w:pPr>
        <w:pStyle w:val="Heading1"/>
      </w:pPr>
      <w:r>
        <w:t>1. Introducción y objetivos</w:t>
      </w:r>
    </w:p>
    <w:p>
      <w:r>
        <w:br/>
        <w:t>Este documento describe la arquitectura técnica del proceso MTU (Montos Transaccionales por Usuario), siguiendo el marco Arc42. El objetivo es establecer una solución escalable y modular que automatice la asignación de montos transaccionales a clientes que no los han definido mediante canales oficiales, permitiendo el envío de notificaciones, correlación de respuestas, cálculo de promedios y actualización de datos.</w:t>
        <w:br/>
        <w:br/>
        <w:t>Aunque el proceso está diseñado como solución transitoria, en el futuro se espera que todos los clientes configuren su MTU desde el proceso de onboarding o mediante canales establecidos, conforme a requisitos regulatorios. Este documento es de carácter técnico. Las decisiones funcionales como el número óptimo de reintentos, reglas de negocio, y lógica de plantillas de notificación son competencia de la documentación funcional.</w:t>
        <w:br/>
      </w:r>
    </w:p>
    <w:p>
      <w:pPr>
        <w:pStyle w:val="Heading1"/>
      </w:pPr>
      <w:r>
        <w:t>3. Requisitos y restricciones</w:t>
      </w:r>
    </w:p>
    <w:p>
      <w:r>
        <w:br/>
        <w:t>- Priorizar cualquier valor de MTU establecido directamente por el cliente sobre valores de default.</w:t>
        <w:br/>
        <w:t>- El número de reintentos de notificación debe ser configurable. Se sugiere un valor default de 3.</w:t>
        <w:br/>
        <w:t>- El status de notificación debe indicar si el cliente está en proceso de notificación vía batch.</w:t>
        <w:br/>
        <w:t>- Interfaces en formato CSV sin cabeceras.</w:t>
        <w:br/>
        <w:t>- En caso de manejar datos sensibles (nombre, correo, etc.), aplicar cifrado de campo o de archivo completo.</w:t>
        <w:br/>
        <w:t>- Los parámetros como número de reintentos deben externalizarse mediante archivo de configuración.</w:t>
        <w:br/>
        <w:t>- Validar espacio de almacenamiento y servicios habilitados en los servidores existentes antes del despliegue.</w:t>
        <w:br/>
      </w:r>
    </w:p>
    <w:p>
      <w:pPr>
        <w:pStyle w:val="Heading1"/>
      </w:pPr>
      <w:r>
        <w:t>5. Vista de bloques de construcción (Building Block View)</w:t>
      </w:r>
    </w:p>
    <w:p>
      <w:r>
        <w:br/>
        <w:t>La solución reutiliza servidores existentes (Batch MTU y Smart Notification), sobre los cuales se desplegarán nuevos procesos batch desarrollados en Spring Boot con Spring Batch. Cada proceso se empaqueta como un JAR independiente por malla.</w:t>
        <w:br/>
        <w:br/>
        <w:t>Los procesos definidos son:</w:t>
        <w:br/>
        <w:t>- `notificacion-mtu-job` (Malla Principal MTU)</w:t>
        <w:br/>
        <w:t>- `estatus-mtu-job` (Respuestas desde Data Lake y actualización)</w:t>
        <w:br/>
        <w:t>- `catalogo-mtu-job` (Actualización de promedios)</w:t>
        <w:br/>
        <w:t>- `depuracion-mtu-job` (Depuración de registros)</w:t>
        <w:br/>
        <w:br/>
        <w:t>🔗 **INSERTAR LINK DOCUMENTACIÓN DE SPRING BATCH HA**</w:t>
        <w:br/>
        <w:br/>
        <w:t>Validaciones mínimas para sanidad de servidores existentes:</w:t>
        <w:br/>
        <w:t>- Servicios SFTP activos</w:t>
        <w:br/>
        <w:t>- Permisos adecuados en carpetas de trabajo</w:t>
        <w:br/>
        <w:t>- Espacio libre mínimo del 20%</w:t>
        <w:br/>
        <w:t>- Logs configurados y rotación activa</w:t>
        <w:br/>
        <w:t>- Puertos habilitados</w:t>
        <w:br/>
      </w:r>
    </w:p>
    <w:p>
      <w:pPr>
        <w:pStyle w:val="Heading1"/>
      </w:pPr>
      <w:r>
        <w:t>6. Vista de ejecución (Runtime View)</w:t>
      </w:r>
    </w:p>
    <w:p>
      <w:r>
        <w:br/>
        <w:t>Los diagramas de secuencia están estructurados por malla:</w:t>
        <w:br/>
        <w:br/>
        <w:t>- Figura 1: Malla Principal MTU (Extracción + generación y envío de notificación)</w:t>
        <w:br/>
        <w:t>- Figura 2: Malla auxiliar de procesamiento de respuestas</w:t>
        <w:br/>
        <w:t>- Figura 3: Malla auxiliar de actualización de promedios</w:t>
        <w:br/>
        <w:t>- Figura 4: Malla auxiliar de depuración</w:t>
        <w:br/>
        <w:br/>
        <w:t>Cada figura se entrega por separado en formato Mermaid.</w:t>
        <w:br/>
      </w:r>
    </w:p>
    <w:p>
      <w:pPr>
        <w:pStyle w:val="Heading1"/>
      </w:pPr>
      <w:r>
        <w:t>7. Vista de despliegue (Deployment View)</w:t>
      </w:r>
    </w:p>
    <w:p>
      <w:r>
        <w:br/>
        <w:t>Los procesos batch se desplegarán en servidores existentes. Sin embargo, las mallas de Control-M son nuevas y deben configurarse desde cero.</w:t>
        <w:br/>
        <w:br/>
        <w:t>Validaciones necesarias:</w:t>
        <w:br/>
        <w:t>- Reglas de firewall entre mainframe, servidores batch, Data Lake y Smart Notification</w:t>
        <w:br/>
        <w:t>- Accesibilidad de rutas y permisos adecuados</w:t>
        <w:br/>
        <w:t>- Configuración del ambiente de ejecución para los JARs</w:t>
        <w:br/>
        <w:t>🔗 **INSERTAR LINK DOCUMENTACIÓN TOPOLOGÍA DE RED FIREWALL**</w:t>
        <w:br/>
      </w:r>
    </w:p>
    <w:p>
      <w:pPr>
        <w:pStyle w:val="Heading1"/>
      </w:pPr>
      <w:r>
        <w:t>8. Conceptos transversales</w:t>
      </w:r>
    </w:p>
    <w:p>
      <w:r>
        <w:br/>
        <w:t>- Uso de Spring Boot + Spring Batch para todos los procesos batch.</w:t>
        <w:br/>
        <w:t>- Cada proceso implementa lógica desacoplada para su malla correspondiente.</w:t>
        <w:br/>
        <w:t>- Archivos en formato CSV sin cabecera.</w:t>
        <w:br/>
        <w:t>- Manejo del protocolo SFTP como medio de transporte, no como actor.</w:t>
        <w:br/>
        <w:t>- Externalización de parámetros críticos vía archivo de configuración (por ejemplo: max_retries).</w:t>
        <w:br/>
        <w:t>- Aplicación de cifrado en caso de tratamiento de datos sensibles.</w:t>
        <w:br/>
        <w:t>🔗 **INSERTAR LINK LINEAMIENTO DE CIFRADO**</w:t>
        <w:br/>
      </w:r>
    </w:p>
    <w:p>
      <w:pPr>
        <w:pStyle w:val="Heading1"/>
      </w:pPr>
      <w:r>
        <w:t>9. Decisiones de diseño</w:t>
      </w:r>
    </w:p>
    <w:p>
      <w:r>
        <w:br/>
        <w:t>- Reutilización de infraestructura existente para reducir tiempo y costo de implementación.</w:t>
        <w:br/>
        <w:t>- Separación de procesos en mallas para escalabilidad y mantenibilidad.</w:t>
        <w:br/>
        <w:t>- Priorización del MTU definido por cliente sobre cualquier monto asignado automáticamente.</w:t>
        <w:br/>
        <w:t>- Sugerencia de valores default, como 3 reintentos, pero dejando abierta su redefinición por negocio.</w:t>
        <w:br/>
        <w:t>- Declaración de que plantillas de notificación o decisiones funcionales no son parte de este diseño técnico.</w:t>
        <w:br/>
      </w:r>
    </w:p>
    <w:p>
      <w:pPr>
        <w:pStyle w:val="Heading1"/>
      </w:pPr>
      <w:r>
        <w:t>12. Glosario</w:t>
      </w:r>
    </w:p>
    <w:p>
      <w:r>
        <w:br/>
        <w:t>- MTU: Monto Transaccional por Usuario</w:t>
        <w:br/>
        <w:t>- Monto de fault: Valor asignado automáticamente en ausencia de configuración explícita por parte del cliente.</w:t>
        <w:br/>
        <w:t>- SFTP: Protocolo de transferencia segura de archivos</w:t>
        <w:br/>
        <w:t>- UID: Identificador único (UUIDv4) utilizado para correlación de notificaciones</w:t>
        <w:br/>
        <w:t>- Spring Batch: Framework de procesamiento batch en Java, usado junto con Spring Boot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