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874E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Perfecto, Miguel Ángel. A continuación te presento la sección 1. Introducción y 2. Objetivos de la arquitectura del documento ARC42, completamente desarrolladas, con redacción profesional y detallada, incorporando el propósito del middleware, el contexto de problemática, y referencias explícitas a las imágenes que ya me compartiste.</w:t>
      </w:r>
    </w:p>
    <w:p w14:paraId="59B2642C" w14:textId="77777777" w:rsidR="00F607F8" w:rsidRPr="0005013C" w:rsidRDefault="00F607F8" w:rsidP="00913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DE5B50" wp14:editId="2261D472">
                <wp:extent cx="3101340" cy="1270"/>
                <wp:effectExtent l="0" t="33020" r="0" b="38100"/>
                <wp:docPr id="1682381072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4D798" id="Rectángulo 3" o:spid="_x0000_s1026" style="width:244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FaWJe3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BB9C59A" w14:textId="77777777" w:rsidR="00F607F8" w:rsidRPr="0005013C" w:rsidRDefault="00F607F8" w:rsidP="0091366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Introducción</w:t>
      </w:r>
    </w:p>
    <w:p w14:paraId="10DE61B7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5768DF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La presente documentación tiene como propósito describir de forma estructurada y exhaustiva la arquitectura de la solución DTO Middleware, desarrollada para atender los desafíos actuales en la generación y acceso a información consolidada del cliente en Banco Santander México. Esta solución se enfoca en la generación, persistencia y estandarización de objetos de transferencia de datos (DTOs) a partir de eventos técnicos capturados desde distintos sistemas fuente, bajo un enfoque de arquitectura orientada a eventos (EDA).</w:t>
      </w:r>
    </w:p>
    <w:p w14:paraId="3A5F001D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942EDA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La necesidad de esta solución surge del patrón arquitectónico actual, donde las plataformas de consumo (como APIs de canales,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subsistemas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internos o aplicaciones móviles) orquestan múltiples fuentes de datos en línea—como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mainframe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, bases de datos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relacionales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u otros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subsistemas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>—para componer la información del cliente de manera dinámica. Este modelo ha demostrado ser ineficiente debido a:</w:t>
      </w:r>
    </w:p>
    <w:p w14:paraId="74D6449F" w14:textId="77777777" w:rsidR="00F607F8" w:rsidRPr="0005013C" w:rsidRDefault="00F607F8" w:rsidP="00F60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Altas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latencias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y tiempos de respuesta no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determinísticos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>.</w:t>
      </w:r>
    </w:p>
    <w:p w14:paraId="5B138963" w14:textId="77777777" w:rsidR="00F607F8" w:rsidRPr="0005013C" w:rsidRDefault="00F607F8" w:rsidP="00F60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Fuerte acoplamiento con sistemas legados.</w:t>
      </w:r>
    </w:p>
    <w:p w14:paraId="178A7DF3" w14:textId="77777777" w:rsidR="00F607F8" w:rsidRPr="0005013C" w:rsidRDefault="00F607F8" w:rsidP="00F60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Complejidad operativa en la orquestación online.</w:t>
      </w:r>
    </w:p>
    <w:p w14:paraId="370E84BB" w14:textId="77777777" w:rsidR="00F607F8" w:rsidRPr="0005013C" w:rsidRDefault="00F607F8" w:rsidP="00F60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Baja resiliencia ante fallos parciales.</w:t>
      </w:r>
    </w:p>
    <w:p w14:paraId="4306CF47" w14:textId="77777777" w:rsidR="00F607F8" w:rsidRPr="0005013C" w:rsidRDefault="00F607F8" w:rsidP="00F60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Impactos en procesos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batch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y sistemas no interactivos.</w:t>
      </w:r>
    </w:p>
    <w:p w14:paraId="774AAC5C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C32FE6" w14:textId="77777777" w:rsidR="00F607F8" w:rsidRPr="0005013C" w:rsidRDefault="00F607F8" w:rsidP="00913660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05013C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[Imagen recomendada aquí: “Problemática” - IMG_FFDF9614-0C80-42C9-A090-BDBC05544797.jpeg]</w:t>
      </w:r>
    </w:p>
    <w:p w14:paraId="09114261" w14:textId="77777777" w:rsidR="00F607F8" w:rsidRPr="0005013C" w:rsidRDefault="00F607F8" w:rsidP="00913660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05013C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Esta imagen visualiza el escenario actual, destacando la complejidad de orquestación directa por parte de las APIs hacia múltiples fuentes, y los problemas asociados.</w:t>
      </w:r>
    </w:p>
    <w:p w14:paraId="762C4313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1626D1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Para resolver esta problemática, se propone una arquitectura evolutiva basada en la consolidación de datos cliente en un repositorio estructurado de DTOs, materializados a partir de eventos asíncronos. Esta solución, denominada DTO Middleware, actúa como una capa de integración desacoplada que genera, persiste y expone la información estructurada, </w:t>
      </w:r>
      <w:r w:rsidRPr="0005013C">
        <w:rPr>
          <w:rFonts w:ascii="Times New Roman" w:hAnsi="Times New Roman" w:cs="Times New Roman"/>
          <w:kern w:val="0"/>
          <w14:ligatures w14:val="none"/>
        </w:rPr>
        <w:lastRenderedPageBreak/>
        <w:t xml:space="preserve">permitiendo una consulta eficiente y estandarizada por parte de cualquier consumidor (API,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batch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>, procesos digitales o canales físicos).</w:t>
      </w:r>
    </w:p>
    <w:p w14:paraId="3BDBDD98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0D680" w14:textId="77777777" w:rsidR="00F607F8" w:rsidRPr="0005013C" w:rsidRDefault="00F607F8" w:rsidP="00913660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05013C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[Imagen recomendada aquí: “Solución” - IMG_C74DCE73-2EE8-4E56-B214-54024AD31B34.jpeg]</w:t>
      </w:r>
    </w:p>
    <w:p w14:paraId="72C1D4DF" w14:textId="77777777" w:rsidR="00F607F8" w:rsidRPr="0005013C" w:rsidRDefault="00F607F8" w:rsidP="00913660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05013C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La imagen muestra cómo los objetos DTO se centralizan en una capa intermedia, desacoplada de las fuentes de datos, habilitando una respuesta simple, rápida y estándar.</w:t>
      </w:r>
    </w:p>
    <w:p w14:paraId="11107044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AFA0EB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La solución se apoya en principios EIP (Enterprise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Integration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Patterns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) y tecnologías como Spring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Cloud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Stream, Spring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Integration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y brokers de eventos (Kafka), permitiendo generar eventos técnicos a partir de cualquier cambio en el core bancario y convertirlos en DTOs del dominio de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Customer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Position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, conforme al estándar BIAN. Dichos objetos pueden ser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accedidos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por múltiples canales, sistemas o procesos, con independencia de la lógica de captura y transformación original.</w:t>
      </w:r>
    </w:p>
    <w:p w14:paraId="72BD2465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2A2C67" w14:textId="77777777" w:rsidR="00F607F8" w:rsidRPr="0005013C" w:rsidRDefault="00F607F8" w:rsidP="00913660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05013C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[Imagen recomendada aquí: “DTO Middleware” - IMG_3D683B19-0F8E-4EF2-8757-165CC6C4DA30.jpeg]</w:t>
      </w:r>
    </w:p>
    <w:p w14:paraId="35F6530B" w14:textId="77777777" w:rsidR="00F607F8" w:rsidRPr="0005013C" w:rsidRDefault="00F607F8" w:rsidP="00913660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05013C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Esta ilustración presenta una vista integral del middleware y su interacción con fuentes, broker, almacenamiento y consumidores.</w:t>
      </w:r>
    </w:p>
    <w:p w14:paraId="45DCAEDA" w14:textId="77777777" w:rsidR="00F607F8" w:rsidRPr="0005013C" w:rsidRDefault="00F607F8" w:rsidP="0091366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1FDEBA" wp14:editId="47B039B8">
                <wp:extent cx="3101340" cy="1270"/>
                <wp:effectExtent l="0" t="33020" r="0" b="38100"/>
                <wp:docPr id="1767187487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507A6" id="Rectángulo 2" o:spid="_x0000_s1026" style="width:244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FaWJe3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E2CC394" w14:textId="77777777" w:rsidR="00F607F8" w:rsidRPr="0005013C" w:rsidRDefault="00F607F8" w:rsidP="0091366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Objetivos de la arquitectura</w:t>
      </w:r>
    </w:p>
    <w:p w14:paraId="5657CB32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1B337B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El objetivo central de esta arquitectura es resolver los problemas de orquestación directa, tiempos de respuesta variables y acoplamiento técnico con sistemas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legacy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mediante un modelo de generación y persistencia desacoplada de información del cliente.</w:t>
      </w:r>
    </w:p>
    <w:p w14:paraId="0B92A1E5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59881D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Entre los objetivos específicos se destacan:</w:t>
      </w:r>
    </w:p>
    <w:p w14:paraId="6CC78F2C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Desacoplar la lógica de orquestación online</w:t>
      </w:r>
    </w:p>
    <w:p w14:paraId="3ECC69E2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Liberar a las APIs de canales,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subsistemas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u otros procesos consumidores de la responsabilidad de orquestar múltiples fuentes de datos en tiempo real. El </w:t>
      </w:r>
      <w:r w:rsidRPr="0005013C">
        <w:rPr>
          <w:rFonts w:ascii="Times New Roman" w:hAnsi="Times New Roman" w:cs="Times New Roman"/>
          <w:kern w:val="0"/>
          <w14:ligatures w14:val="none"/>
        </w:rPr>
        <w:lastRenderedPageBreak/>
        <w:t>middleware se convierte en el responsable exclusivo de componer y exponer la información consolidada.</w:t>
      </w:r>
    </w:p>
    <w:p w14:paraId="4306CB8F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Establecer un modelo orientado a eventos</w:t>
      </w:r>
    </w:p>
    <w:p w14:paraId="76BBF939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Capturar eventos técnicos emitidos por sistemas fuente (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mainframe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, BD,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subsistemas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) y transformarlos en objetos DTO estructurados,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auditables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y persistentes.</w:t>
      </w:r>
    </w:p>
    <w:p w14:paraId="2454FC77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Centralizar el almacenamiento de DTOs</w:t>
      </w:r>
    </w:p>
    <w:p w14:paraId="6B662557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Generar un repositorio centralizado de objetos DTO—estructurado y versionado—que sirva como fuente de verdad para canales digitales, procesos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batch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o sistemas internos.</w:t>
      </w:r>
    </w:p>
    <w:p w14:paraId="48B358B7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Optimizar el tiempo de respuesta</w:t>
      </w:r>
    </w:p>
    <w:p w14:paraId="235F43B7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Implementar una capa de cacheo TTL (Time To Live) para acceso inmediato a los datos más consultados, al tiempo que se mantiene un respaldo persistente para integridad y trazabilidad.</w:t>
      </w:r>
    </w:p>
    <w:p w14:paraId="18B59827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Soportar lógicas de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fallback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>, reconciliación y resiliencia</w:t>
      </w:r>
    </w:p>
    <w:p w14:paraId="099ACD63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Incorporar mecanismos para manejar errores,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reintentos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asíncronos y reconciliación con sistemas fuente, mejorando la confiabilidad general del ecosistema.</w:t>
      </w:r>
    </w:p>
    <w:p w14:paraId="12C611CE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Facilitar nuevos flujos de negocio</w:t>
      </w:r>
    </w:p>
    <w:p w14:paraId="53A5C036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Habilitar que cualquier actualización realizada sobre los DTOs genere nuevos eventos que puedan ser consumidos por otros sistemas, replicando la información o notificando a procesos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downstream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>.</w:t>
      </w:r>
    </w:p>
    <w:p w14:paraId="18CBB02F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Alinear con estándares BIAN y patrones EIP</w:t>
      </w:r>
    </w:p>
    <w:p w14:paraId="5932C960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Estandarizar la estructura del objeto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CustomerPosition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conforme al marco BIAN y emplear patrones reconocidos (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Filters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Enricher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Aggregator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Splitter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>, etc.) para la implementación.</w:t>
      </w:r>
    </w:p>
    <w:p w14:paraId="0C643A99" w14:textId="77777777" w:rsidR="00F607F8" w:rsidRPr="0005013C" w:rsidRDefault="00F607F8" w:rsidP="00F60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 xml:space="preserve">Garantizar </w:t>
      </w:r>
      <w:proofErr w:type="spellStart"/>
      <w:r w:rsidRPr="0005013C">
        <w:rPr>
          <w:rFonts w:ascii="Times New Roman" w:hAnsi="Times New Roman" w:cs="Times New Roman"/>
          <w:kern w:val="0"/>
          <w14:ligatures w14:val="none"/>
        </w:rPr>
        <w:t>auditabilidad</w:t>
      </w:r>
      <w:proofErr w:type="spellEnd"/>
      <w:r w:rsidRPr="0005013C">
        <w:rPr>
          <w:rFonts w:ascii="Times New Roman" w:hAnsi="Times New Roman" w:cs="Times New Roman"/>
          <w:kern w:val="0"/>
          <w14:ligatures w14:val="none"/>
        </w:rPr>
        <w:t xml:space="preserve"> y trazabilidad</w:t>
      </w:r>
    </w:p>
    <w:p w14:paraId="7C28C76F" w14:textId="77777777" w:rsidR="00F607F8" w:rsidRPr="0005013C" w:rsidRDefault="00F607F8" w:rsidP="0091366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t>Todos los eventos y objetos generados quedan registrados, permitiendo su seguimiento técnico y funcional para fines de auditoría.</w:t>
      </w:r>
    </w:p>
    <w:p w14:paraId="4377F4F2" w14:textId="77777777" w:rsidR="00F607F8" w:rsidRPr="0005013C" w:rsidRDefault="00F607F8" w:rsidP="00913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A331DE" wp14:editId="65BCEC4F">
                <wp:extent cx="3101340" cy="1270"/>
                <wp:effectExtent l="0" t="33020" r="0" b="38100"/>
                <wp:docPr id="817785502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AA1E1" id="Rectángulo 1" o:spid="_x0000_s1026" style="width:244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FaWJe3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FCB8E9" w14:textId="77777777" w:rsidR="00F607F8" w:rsidRPr="0005013C" w:rsidRDefault="00F607F8" w:rsidP="009136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013C">
        <w:rPr>
          <w:rFonts w:ascii="Times New Roman" w:hAnsi="Times New Roman" w:cs="Times New Roman"/>
          <w:kern w:val="0"/>
          <w14:ligatures w14:val="none"/>
        </w:rPr>
        <w:lastRenderedPageBreak/>
        <w:t>¿Deseas que avancemos con la sección Contexto y Alcance (ARC42 sección 3)? También puedo ayudarte a definir los lugares específicos para cada diagrama dentro del documento final.</w:t>
      </w:r>
    </w:p>
    <w:p w14:paraId="594EAA0B" w14:textId="77777777" w:rsidR="00F607F8" w:rsidRDefault="00F607F8" w:rsidP="00913660"/>
    <w:p w14:paraId="35783955" w14:textId="77777777" w:rsidR="00EB4C2B" w:rsidRPr="0098327E" w:rsidRDefault="00EB4C2B" w:rsidP="0098327E"/>
    <w:sectPr w:rsidR="00EB4C2B" w:rsidRPr="009832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E08F6"/>
    <w:multiLevelType w:val="multilevel"/>
    <w:tmpl w:val="A8B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84A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04A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930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66D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C45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B02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A75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61C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E78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955272">
    <w:abstractNumId w:val="5"/>
  </w:num>
  <w:num w:numId="2" w16cid:durableId="1318268306">
    <w:abstractNumId w:val="8"/>
  </w:num>
  <w:num w:numId="3" w16cid:durableId="876546195">
    <w:abstractNumId w:val="10"/>
  </w:num>
  <w:num w:numId="4" w16cid:durableId="1909488792">
    <w:abstractNumId w:val="0"/>
  </w:num>
  <w:num w:numId="5" w16cid:durableId="2020349631">
    <w:abstractNumId w:val="1"/>
  </w:num>
  <w:num w:numId="6" w16cid:durableId="1985156556">
    <w:abstractNumId w:val="4"/>
  </w:num>
  <w:num w:numId="7" w16cid:durableId="1542208817">
    <w:abstractNumId w:val="9"/>
  </w:num>
  <w:num w:numId="8" w16cid:durableId="430316792">
    <w:abstractNumId w:val="6"/>
  </w:num>
  <w:num w:numId="9" w16cid:durableId="522129594">
    <w:abstractNumId w:val="7"/>
  </w:num>
  <w:num w:numId="10" w16cid:durableId="1204442930">
    <w:abstractNumId w:val="2"/>
  </w:num>
  <w:num w:numId="11" w16cid:durableId="2119594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F0"/>
    <w:rsid w:val="00116153"/>
    <w:rsid w:val="001366C4"/>
    <w:rsid w:val="00202364"/>
    <w:rsid w:val="00216528"/>
    <w:rsid w:val="002D181C"/>
    <w:rsid w:val="00390026"/>
    <w:rsid w:val="003C5347"/>
    <w:rsid w:val="00567772"/>
    <w:rsid w:val="007F53DB"/>
    <w:rsid w:val="00926030"/>
    <w:rsid w:val="0098327E"/>
    <w:rsid w:val="00A24C06"/>
    <w:rsid w:val="00A4393F"/>
    <w:rsid w:val="00AE3C91"/>
    <w:rsid w:val="00B02008"/>
    <w:rsid w:val="00B81854"/>
    <w:rsid w:val="00C369DE"/>
    <w:rsid w:val="00C535C4"/>
    <w:rsid w:val="00E51EF0"/>
    <w:rsid w:val="00E5680F"/>
    <w:rsid w:val="00EB4C2B"/>
    <w:rsid w:val="00F35DC3"/>
    <w:rsid w:val="00F6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0232B"/>
  <w15:chartTrackingRefBased/>
  <w15:docId w15:val="{6F5794FD-42B4-FF4C-B9BB-67F193AB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E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E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E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E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E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E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E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1E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E51EF0"/>
  </w:style>
  <w:style w:type="paragraph" w:customStyle="1" w:styleId="p2">
    <w:name w:val="p2"/>
    <w:basedOn w:val="Normal"/>
    <w:rsid w:val="00E51E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E51EF0"/>
  </w:style>
  <w:style w:type="paragraph" w:customStyle="1" w:styleId="p3">
    <w:name w:val="p3"/>
    <w:basedOn w:val="Normal"/>
    <w:rsid w:val="00E51E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E51EF0"/>
  </w:style>
  <w:style w:type="character" w:customStyle="1" w:styleId="s4">
    <w:name w:val="s4"/>
    <w:basedOn w:val="Fuentedeprrafopredeter"/>
    <w:rsid w:val="00C5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846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Labastida</dc:creator>
  <cp:keywords/>
  <dc:description/>
  <cp:lastModifiedBy>Miguel Angel Garcia Labastida</cp:lastModifiedBy>
  <cp:revision>6</cp:revision>
  <dcterms:created xsi:type="dcterms:W3CDTF">2025-07-09T01:55:00Z</dcterms:created>
  <dcterms:modified xsi:type="dcterms:W3CDTF">2025-07-22T18:14:00Z</dcterms:modified>
</cp:coreProperties>
</file>