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0"/>
          <w:szCs w:val="20"/>
          <w:rtl w:val="0"/>
        </w:rPr>
        <w:t xml:space="preserve">Damien TROLARD - Yanis RIDA - Tom DELGUSTE - Lorenso MENDES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ylkjzi9utkjn" w:id="0"/>
      <w:bookmarkEnd w:id="0"/>
      <w:r w:rsidDel="00000000" w:rsidR="00000000" w:rsidRPr="00000000">
        <w:rPr>
          <w:b w:val="1"/>
          <w:rtl w:val="0"/>
        </w:rPr>
        <w:t xml:space="preserve">Projet DRTM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ooahg3j5fewc" w:id="1"/>
      <w:bookmarkEnd w:id="1"/>
      <w:r w:rsidDel="00000000" w:rsidR="00000000" w:rsidRPr="00000000">
        <w:rPr>
          <w:sz w:val="28"/>
          <w:szCs w:val="28"/>
          <w:rtl w:val="0"/>
        </w:rPr>
        <w:t xml:space="preserve">Rendu 17/02/17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Cahier des spécifications fonctionnelles (dépôt vendredi 17/02)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Diagramme de cas d’utilisation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 board - Succession des écrans  - Moqups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Organigramme des tâches (Workflow de l’application - Enchaînement des tâches, flux d’information)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Définir les tâches élémentaires pour chaques fonctionnalités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